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61734dposasr.htm"/>
        <w:bookmarkStart w:id="1" w:name="ksd161734dposasr"/>
        <w:bookmarkEnd w:id="0"/>
        <w:bookmarkEnd w:id="1"/>
        <w:r>
          <w:rPr>
            <w:rStyle w:val="InternetLink"/>
            <w:b/>
            <w:sz w:val="20"/>
          </w:rPr>
          <w:t>Table of Contents</w:t>
        </w:r>
      </w:hyperlink>
    </w:p>
    <w:p>
      <w:pPr>
        <w:pStyle w:val="TextBody"/>
        <w:bidi w:val="0"/>
        <w:spacing w:before="0" w:after="0"/>
        <w:jc w:val="center"/>
        <w:rPr>
          <w:rFonts w:ascii="Times New Roman" w:hAnsi="Times New Roman"/>
          <w:b/>
          <w:sz w:val="18"/>
        </w:rPr>
      </w:pPr>
      <w:r>
        <w:rPr>
          <w:rFonts w:ascii="Times New Roman" w:hAnsi="Times New Roman"/>
          <w:b/>
          <w:sz w:val="18"/>
        </w:rPr>
        <w:t xml:space="preserve">As filed with the Securities and Exchange Commission on August 10, 2026. </w:t>
      </w:r>
    </w:p>
    <w:p>
      <w:pPr>
        <w:pStyle w:val="TextBody"/>
        <w:bidi w:val="0"/>
        <w:spacing w:before="0" w:after="0"/>
        <w:jc w:val="right"/>
        <w:rPr>
          <w:rFonts w:ascii="Times New Roman" w:hAnsi="Times New Roman"/>
          <w:b/>
          <w:sz w:val="18"/>
        </w:rPr>
      </w:pPr>
      <w:r>
        <w:rPr>
          <w:rFonts w:ascii="Times New Roman" w:hAnsi="Times New Roman"/>
          <w:b/>
          <w:sz w:val="18"/>
        </w:rPr>
        <w:t xml:space="preserve">Registration No. 333-293343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4"/>
        </w:rPr>
      </w:pPr>
      <w:r>
        <w:rPr>
          <w:rFonts w:ascii="Times New Roman" w:hAnsi="Times New Roman"/>
          <w:b/>
          <w:sz w:val="34"/>
        </w:rPr>
        <w:t xml:space="preserve">UNITED STATES </w:t>
      </w:r>
    </w:p>
    <w:p>
      <w:pPr>
        <w:pStyle w:val="TextBody"/>
        <w:bidi w:val="0"/>
        <w:spacing w:before="0" w:after="0"/>
        <w:jc w:val="center"/>
        <w:rPr>
          <w:rFonts w:ascii="Times New Roman" w:hAnsi="Times New Roman"/>
          <w:b/>
          <w:sz w:val="34"/>
        </w:rPr>
      </w:pPr>
      <w:r>
        <w:rPr>
          <w:rFonts w:ascii="Times New Roman" w:hAnsi="Times New Roman"/>
          <w:b/>
          <w:sz w:val="34"/>
        </w:rPr>
        <w:t xml:space="preserve">SECURITIES AND EXCHANGE COMMISSION </w:t>
      </w:r>
    </w:p>
    <w:p>
      <w:pPr>
        <w:pStyle w:val="TextBody"/>
        <w:bidi w:val="0"/>
        <w:spacing w:before="0" w:after="0"/>
        <w:jc w:val="center"/>
        <w:rPr>
          <w:rFonts w:ascii="Times New Roman" w:hAnsi="Times New Roman"/>
          <w:b/>
          <w:sz w:val="22"/>
        </w:rPr>
      </w:pPr>
      <w:r>
        <w:rPr>
          <w:rFonts w:ascii="Times New Roman" w:hAnsi="Times New Roman"/>
          <w:b/>
          <w:sz w:val="22"/>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4"/>
        </w:rPr>
      </w:pPr>
      <w:r>
        <w:rPr>
          <w:rFonts w:ascii="Times New Roman" w:hAnsi="Times New Roman"/>
          <w:b/>
          <w:sz w:val="34"/>
        </w:rPr>
        <w:t xml:space="preserve">POST-EFFECTIVE AMENDMENT NO. 1 </w:t>
      </w:r>
    </w:p>
    <w:p>
      <w:pPr>
        <w:pStyle w:val="TextBody"/>
        <w:bidi w:val="0"/>
        <w:spacing w:before="0" w:after="0"/>
        <w:jc w:val="center"/>
        <w:rPr>
          <w:rFonts w:ascii="Times New Roman" w:hAnsi="Times New Roman"/>
          <w:b/>
          <w:sz w:val="34"/>
        </w:rPr>
      </w:pPr>
      <w:r>
        <w:rPr>
          <w:rFonts w:ascii="Times New Roman" w:hAnsi="Times New Roman"/>
          <w:b/>
          <w:sz w:val="34"/>
        </w:rPr>
        <w:t xml:space="preserve">TO </w:t>
      </w:r>
    </w:p>
    <w:p>
      <w:pPr>
        <w:pStyle w:val="TextBody"/>
        <w:bidi w:val="0"/>
        <w:spacing w:before="0" w:after="0"/>
        <w:jc w:val="center"/>
        <w:rPr>
          <w:rFonts w:ascii="Times New Roman" w:hAnsi="Times New Roman"/>
          <w:b/>
          <w:sz w:val="34"/>
        </w:rPr>
      </w:pPr>
      <w:r>
        <w:rPr>
          <w:rFonts w:ascii="Times New Roman" w:hAnsi="Times New Roman"/>
          <w:b/>
          <w:sz w:val="34"/>
        </w:rPr>
        <w:t xml:space="preserve">FORM S-3 </w:t>
      </w:r>
    </w:p>
    <w:p>
      <w:pPr>
        <w:pStyle w:val="TextBody"/>
        <w:bidi w:val="0"/>
        <w:spacing w:before="0" w:after="0"/>
        <w:jc w:val="center"/>
        <w:rPr>
          <w:rFonts w:ascii="Times New Roman" w:hAnsi="Times New Roman"/>
          <w:b/>
          <w:sz w:val="34"/>
        </w:rPr>
      </w:pPr>
      <w:r>
        <w:rPr>
          <w:rFonts w:ascii="Times New Roman" w:hAnsi="Times New Roman"/>
          <w:b/>
          <w:sz w:val="34"/>
        </w:rPr>
        <w:t xml:space="preserve">REGISTRATION STATEMENT </w:t>
      </w:r>
    </w:p>
    <w:p>
      <w:pPr>
        <w:pStyle w:val="TextBody"/>
        <w:bidi w:val="0"/>
        <w:spacing w:before="0" w:after="0"/>
        <w:jc w:val="center"/>
        <w:rPr>
          <w:rFonts w:ascii="Times New Roman" w:hAnsi="Times New Roman"/>
          <w:b/>
          <w:i/>
          <w:sz w:val="20"/>
        </w:rPr>
      </w:pPr>
      <w:r>
        <w:rPr>
          <w:rFonts w:ascii="Times New Roman" w:hAnsi="Times New Roman"/>
          <w:b/>
          <w:i/>
          <w:sz w:val="20"/>
        </w:rPr>
        <w:t xml:space="preserve">UNDER </w:t>
      </w:r>
    </w:p>
    <w:p>
      <w:pPr>
        <w:pStyle w:val="TextBody"/>
        <w:bidi w:val="0"/>
        <w:spacing w:before="0" w:after="0"/>
        <w:jc w:val="center"/>
        <w:rPr>
          <w:rFonts w:ascii="Times New Roman" w:hAnsi="Times New Roman"/>
          <w:b/>
          <w:i/>
          <w:sz w:val="20"/>
        </w:rPr>
      </w:pPr>
      <w:r>
        <w:rPr>
          <w:rFonts w:ascii="Times New Roman" w:hAnsi="Times New Roman"/>
          <w:b/>
          <w:i/>
          <w:sz w:val="20"/>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4"/>
        </w:rPr>
      </w:pPr>
      <w:r>
        <w:rPr>
          <w:rFonts w:ascii="Times New Roman" w:hAnsi="Times New Roman"/>
          <w:b/>
          <w:sz w:val="44"/>
        </w:rPr>
        <w:t xml:space="preserve">Damora Therapeutics, Inc. </w:t>
      </w:r>
    </w:p>
    <w:p>
      <w:pPr>
        <w:pStyle w:val="TextBody"/>
        <w:bidi w:val="0"/>
        <w:spacing w:before="0" w:after="0"/>
        <w:jc w:val="center"/>
        <w:rPr>
          <w:rFonts w:ascii="Times New Roman" w:hAnsi="Times New Roman"/>
          <w:b/>
          <w:sz w:val="18"/>
        </w:rPr>
      </w:pPr>
      <w:r>
        <w:rPr>
          <w:rFonts w:ascii="Times New Roman" w:hAnsi="Times New Roman"/>
          <w:b/>
          <w:sz w:val="18"/>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Cayman Islands</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37-1957007</w:t>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bl>
    <w:p>
      <w:pPr>
        <w:pStyle w:val="TextBody"/>
        <w:bidi w:val="0"/>
        <w:spacing w:before="120" w:after="0"/>
        <w:jc w:val="center"/>
        <w:rPr>
          <w:rFonts w:ascii="Times New Roman" w:hAnsi="Times New Roman"/>
          <w:b/>
          <w:sz w:val="18"/>
        </w:rPr>
      </w:pPr>
      <w:r>
        <w:rPr>
          <w:rFonts w:ascii="Times New Roman" w:hAnsi="Times New Roman"/>
          <w:b/>
          <w:sz w:val="18"/>
        </w:rPr>
        <w:t xml:space="preserve">221 Crescent Street </w:t>
      </w:r>
    </w:p>
    <w:p>
      <w:pPr>
        <w:pStyle w:val="TextBody"/>
        <w:bidi w:val="0"/>
        <w:spacing w:before="0" w:after="0"/>
        <w:jc w:val="center"/>
        <w:rPr>
          <w:rFonts w:ascii="Times New Roman" w:hAnsi="Times New Roman"/>
          <w:b/>
          <w:sz w:val="18"/>
        </w:rPr>
      </w:pPr>
      <w:r>
        <w:rPr>
          <w:rFonts w:ascii="Times New Roman" w:hAnsi="Times New Roman"/>
          <w:b/>
          <w:sz w:val="18"/>
        </w:rPr>
        <w:t xml:space="preserve">Building 23, Suite 105 </w:t>
      </w:r>
    </w:p>
    <w:p>
      <w:pPr>
        <w:pStyle w:val="TextBody"/>
        <w:bidi w:val="0"/>
        <w:spacing w:before="0" w:after="0"/>
        <w:jc w:val="center"/>
        <w:rPr>
          <w:rFonts w:ascii="Times New Roman" w:hAnsi="Times New Roman"/>
          <w:b/>
          <w:sz w:val="18"/>
        </w:rPr>
      </w:pPr>
      <w:r>
        <w:rPr>
          <w:rFonts w:ascii="Times New Roman" w:hAnsi="Times New Roman"/>
          <w:b/>
          <w:sz w:val="18"/>
        </w:rPr>
        <w:t xml:space="preserve">Waltham, MA 02453 </w:t>
      </w:r>
    </w:p>
    <w:p>
      <w:pPr>
        <w:pStyle w:val="TextBody"/>
        <w:bidi w:val="0"/>
        <w:spacing w:before="0" w:after="0"/>
        <w:jc w:val="center"/>
        <w:rPr>
          <w:rFonts w:ascii="Times New Roman" w:hAnsi="Times New Roman"/>
          <w:b/>
          <w:sz w:val="18"/>
        </w:rPr>
      </w:pPr>
      <w:r>
        <w:rPr>
          <w:rFonts w:ascii="Times New Roman" w:hAnsi="Times New Roman"/>
          <w:b/>
          <w:sz w:val="18"/>
        </w:rPr>
        <w:t xml:space="preserve">(781) 281-9020 </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18"/>
        </w:rPr>
      </w:pPr>
      <w:r>
        <w:rPr>
          <w:rFonts w:ascii="Times New Roman" w:hAnsi="Times New Roman"/>
          <w:b/>
          <w:sz w:val="18"/>
        </w:rPr>
        <w:t xml:space="preserve">Walkers (Cayman) LLP </w:t>
      </w:r>
    </w:p>
    <w:p>
      <w:pPr>
        <w:pStyle w:val="TextBody"/>
        <w:bidi w:val="0"/>
        <w:spacing w:before="0" w:after="0"/>
        <w:jc w:val="center"/>
        <w:rPr>
          <w:rFonts w:ascii="Times New Roman" w:hAnsi="Times New Roman"/>
          <w:b/>
          <w:sz w:val="18"/>
        </w:rPr>
      </w:pPr>
      <w:r>
        <w:rPr>
          <w:rFonts w:ascii="Times New Roman" w:hAnsi="Times New Roman"/>
          <w:b/>
          <w:sz w:val="18"/>
        </w:rPr>
        <w:t xml:space="preserve">190 Elgin Avenue </w:t>
      </w:r>
    </w:p>
    <w:p>
      <w:pPr>
        <w:pStyle w:val="TextBody"/>
        <w:bidi w:val="0"/>
        <w:spacing w:before="0" w:after="0"/>
        <w:jc w:val="center"/>
        <w:rPr>
          <w:rFonts w:ascii="Times New Roman" w:hAnsi="Times New Roman"/>
          <w:b/>
          <w:sz w:val="18"/>
        </w:rPr>
      </w:pPr>
      <w:r>
        <w:rPr>
          <w:rFonts w:ascii="Times New Roman" w:hAnsi="Times New Roman"/>
          <w:b/>
          <w:sz w:val="18"/>
        </w:rPr>
        <w:t xml:space="preserve">George Town, Grand Cayman </w:t>
      </w:r>
    </w:p>
    <w:p>
      <w:pPr>
        <w:pStyle w:val="TextBody"/>
        <w:bidi w:val="0"/>
        <w:spacing w:before="0" w:after="0"/>
        <w:jc w:val="center"/>
        <w:rPr>
          <w:rFonts w:ascii="Times New Roman" w:hAnsi="Times New Roman"/>
          <w:b/>
          <w:sz w:val="18"/>
        </w:rPr>
      </w:pPr>
      <w:r>
        <w:rPr>
          <w:rFonts w:ascii="Times New Roman" w:hAnsi="Times New Roman"/>
          <w:b/>
          <w:sz w:val="18"/>
        </w:rPr>
        <w:t xml:space="preserve">KY1-9008, Cayman Islands </w:t>
      </w:r>
    </w:p>
    <w:p>
      <w:pPr>
        <w:pStyle w:val="TextBody"/>
        <w:bidi w:val="0"/>
        <w:spacing w:before="0" w:after="0"/>
        <w:jc w:val="center"/>
        <w:rPr>
          <w:rFonts w:ascii="Times New Roman" w:hAnsi="Times New Roman"/>
          <w:b/>
          <w:sz w:val="18"/>
        </w:rPr>
      </w:pPr>
      <w:r>
        <w:rPr>
          <w:rFonts w:ascii="Times New Roman" w:hAnsi="Times New Roman"/>
          <w:b/>
          <w:sz w:val="18"/>
        </w:rPr>
        <w:t xml:space="preserve">+1 (345) 949-0100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i/>
          <w:sz w:val="18"/>
        </w:rPr>
      </w:pPr>
      <w:r>
        <w:rPr>
          <w:rFonts w:ascii="Times New Roman" w:hAnsi="Times New Roman"/>
          <w:b/>
          <w:i/>
          <w:sz w:val="18"/>
        </w:rPr>
        <w:t xml:space="preserve">With copies to: </w:t>
      </w:r>
    </w:p>
    <w:p>
      <w:pPr>
        <w:pStyle w:val="TextBody"/>
        <w:bidi w:val="0"/>
        <w:spacing w:before="120" w:after="0"/>
        <w:jc w:val="center"/>
        <w:rPr>
          <w:rFonts w:ascii="Times New Roman" w:hAnsi="Times New Roman"/>
          <w:b/>
          <w:sz w:val="18"/>
        </w:rPr>
      </w:pPr>
      <w:r>
        <w:rPr>
          <w:rFonts w:ascii="Times New Roman" w:hAnsi="Times New Roman"/>
          <w:b/>
          <w:sz w:val="18"/>
        </w:rPr>
        <w:t xml:space="preserve">Ryan A. Murr </w:t>
      </w:r>
    </w:p>
    <w:p>
      <w:pPr>
        <w:pStyle w:val="TextBody"/>
        <w:bidi w:val="0"/>
        <w:spacing w:before="0" w:after="0"/>
        <w:jc w:val="center"/>
        <w:rPr>
          <w:rFonts w:ascii="Times New Roman" w:hAnsi="Times New Roman"/>
          <w:b/>
          <w:sz w:val="18"/>
        </w:rPr>
      </w:pPr>
      <w:r>
        <w:rPr>
          <w:rFonts w:ascii="Times New Roman" w:hAnsi="Times New Roman"/>
          <w:b/>
          <w:sz w:val="18"/>
        </w:rPr>
        <w:t xml:space="preserve">Branden C. Berns </w:t>
      </w:r>
    </w:p>
    <w:p>
      <w:pPr>
        <w:pStyle w:val="TextBody"/>
        <w:bidi w:val="0"/>
        <w:spacing w:before="0" w:after="0"/>
        <w:jc w:val="center"/>
        <w:rPr>
          <w:rFonts w:ascii="Times New Roman" w:hAnsi="Times New Roman"/>
          <w:b/>
          <w:sz w:val="18"/>
        </w:rPr>
      </w:pPr>
      <w:r>
        <w:rPr>
          <w:rFonts w:ascii="Times New Roman" w:hAnsi="Times New Roman"/>
          <w:b/>
          <w:sz w:val="18"/>
        </w:rPr>
        <w:t xml:space="preserve">Melanie E. Neary </w:t>
      </w:r>
    </w:p>
    <w:p>
      <w:pPr>
        <w:pStyle w:val="TextBody"/>
        <w:bidi w:val="0"/>
        <w:spacing w:before="0" w:after="0"/>
        <w:jc w:val="center"/>
        <w:rPr>
          <w:rFonts w:ascii="Times New Roman" w:hAnsi="Times New Roman"/>
          <w:b/>
          <w:sz w:val="18"/>
        </w:rPr>
      </w:pPr>
      <w:r>
        <w:rPr>
          <w:rFonts w:ascii="Times New Roman" w:hAnsi="Times New Roman"/>
          <w:b/>
          <w:sz w:val="18"/>
        </w:rPr>
        <w:t xml:space="preserve">Gibson, Dunn &amp; Crutcher LLP </w:t>
      </w:r>
    </w:p>
    <w:p>
      <w:pPr>
        <w:pStyle w:val="TextBody"/>
        <w:bidi w:val="0"/>
        <w:spacing w:before="0" w:after="0"/>
        <w:jc w:val="center"/>
        <w:rPr>
          <w:rFonts w:ascii="Times New Roman" w:hAnsi="Times New Roman"/>
          <w:b/>
          <w:sz w:val="18"/>
        </w:rPr>
      </w:pPr>
      <w:r>
        <w:rPr>
          <w:rFonts w:ascii="Times New Roman" w:hAnsi="Times New Roman"/>
          <w:b/>
          <w:sz w:val="18"/>
        </w:rPr>
        <w:t xml:space="preserve">One Embarcadero Center, Suite 2600 </w:t>
      </w:r>
    </w:p>
    <w:p>
      <w:pPr>
        <w:pStyle w:val="TextBody"/>
        <w:bidi w:val="0"/>
        <w:spacing w:before="0" w:after="0"/>
        <w:jc w:val="center"/>
        <w:rPr>
          <w:rFonts w:ascii="Times New Roman" w:hAnsi="Times New Roman"/>
          <w:b/>
          <w:sz w:val="18"/>
        </w:rPr>
      </w:pPr>
      <w:r>
        <w:rPr>
          <w:rFonts w:ascii="Times New Roman" w:hAnsi="Times New Roman"/>
          <w:b/>
          <w:sz w:val="18"/>
        </w:rPr>
        <w:t xml:space="preserve">San Francisco, CA 94111 </w:t>
      </w:r>
    </w:p>
    <w:p>
      <w:pPr>
        <w:pStyle w:val="TextBody"/>
        <w:bidi w:val="0"/>
        <w:spacing w:before="0" w:after="0"/>
        <w:jc w:val="center"/>
        <w:rPr>
          <w:rFonts w:ascii="Times New Roman" w:hAnsi="Times New Roman"/>
          <w:b/>
          <w:sz w:val="18"/>
        </w:rPr>
      </w:pPr>
      <w:r>
        <w:rPr>
          <w:rFonts w:ascii="Times New Roman" w:hAnsi="Times New Roman"/>
          <w:b/>
          <w:sz w:val="18"/>
        </w:rPr>
        <w:t xml:space="preserve">(415) 393-8373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16"/>
        </w:rPr>
      </w:pPr>
      <w:r>
        <w:rPr>
          <w:rFonts w:ascii="Times New Roman" w:hAnsi="Times New Roman"/>
          <w:b/>
          <w:sz w:val="16"/>
        </w:rPr>
        <w:t>Approximate date of commencement of proposed sale to the public</w:t>
      </w:r>
      <w:r>
        <w:rPr>
          <w:rFonts w:ascii="Times New Roman" w:hAnsi="Times New Roman"/>
          <w:sz w:val="16"/>
        </w:rPr>
        <w:t xml:space="preserve">: From time to time after this registration statement becomes effective. </w:t>
      </w:r>
    </w:p>
    <w:p>
      <w:pPr>
        <w:pStyle w:val="TextBody"/>
        <w:bidi w:val="0"/>
        <w:spacing w:before="120" w:after="0"/>
        <w:jc w:val="left"/>
        <w:rPr>
          <w:rFonts w:ascii="Times New Roman" w:hAnsi="Times New Roman"/>
          <w:sz w:val="16"/>
        </w:rPr>
      </w:pPr>
      <w:r>
        <w:rPr>
          <w:rFonts w:ascii="Times New Roman" w:hAnsi="Times New Roman"/>
          <w:sz w:val="16"/>
        </w:rPr>
        <w:t xml:space="preserve">If the only securities being registered on this Form are being offered pursuant to dividend or interest reinvestment plans, please check the following box: ☐ </w:t>
      </w:r>
    </w:p>
    <w:p>
      <w:pPr>
        <w:pStyle w:val="TextBody"/>
        <w:bidi w:val="0"/>
        <w:spacing w:before="120" w:after="0"/>
        <w:jc w:val="left"/>
        <w:rPr>
          <w:rFonts w:ascii="Times New Roman" w:hAnsi="Times New Roman"/>
          <w:sz w:val="16"/>
        </w:rPr>
      </w:pPr>
      <w:r>
        <w:rPr>
          <w:rFonts w:ascii="Times New Roman" w:hAnsi="Times New Roman"/>
          <w:sz w:val="16"/>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before="120" w:after="0"/>
        <w:jc w:val="left"/>
        <w:rPr>
          <w:rFonts w:ascii="Times New Roman" w:hAnsi="Times New Roman"/>
          <w:sz w:val="16"/>
        </w:rPr>
      </w:pPr>
      <w:r>
        <w:rPr>
          <w:rFonts w:ascii="Times New Roman" w:hAnsi="Times New Roman"/>
          <w:sz w:val="16"/>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6"/>
        </w:rPr>
      </w:pPr>
      <w:r>
        <w:rPr>
          <w:rFonts w:ascii="Times New Roman" w:hAnsi="Times New Roman"/>
          <w:sz w:val="16"/>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6"/>
        </w:rPr>
      </w:pPr>
      <w:r>
        <w:rPr>
          <w:rFonts w:ascii="Times New Roman" w:hAnsi="Times New Roman"/>
          <w:sz w:val="16"/>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120" w:after="0"/>
        <w:jc w:val="left"/>
        <w:rPr>
          <w:rFonts w:ascii="Times New Roman" w:hAnsi="Times New Roman"/>
          <w:sz w:val="16"/>
        </w:rPr>
      </w:pPr>
      <w:r>
        <w:rPr>
          <w:rFonts w:ascii="Times New Roman" w:hAnsi="Times New Roman"/>
          <w:sz w:val="16"/>
        </w:rPr>
        <w:t xml:space="preserve">If this Form is a post-effective amendment to a registration statement filed pursuant to General Instruction I. D. filed to register additional securities or additional classes of securities pursuant to Rule 413(b) under the Securities Act, check the following box. ☐ </w:t>
      </w:r>
    </w:p>
    <w:p>
      <w:pPr>
        <w:pStyle w:val="TextBody"/>
        <w:bidi w:val="0"/>
        <w:spacing w:before="120" w:after="0"/>
        <w:jc w:val="left"/>
        <w:rPr>
          <w:rFonts w:ascii="Times New Roman" w:hAnsi="Times New Roman"/>
          <w:sz w:val="16"/>
        </w:rPr>
      </w:pPr>
      <w:r>
        <w:rPr>
          <w:rFonts w:ascii="Times New Roman" w:hAnsi="Times New Roman"/>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68"/>
        <w:gridCol w:w="106"/>
        <w:gridCol w:w="4320"/>
        <w:gridCol w:w="150"/>
        <w:gridCol w:w="2920"/>
        <w:gridCol w:w="106"/>
        <w:gridCol w:w="235"/>
      </w:tblGrid>
      <w:tr>
        <w:trPr/>
        <w:tc>
          <w:tcPr>
            <w:tcW w:w="2368"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4320"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2920"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2368" w:type="dxa"/>
            <w:tcBorders/>
            <w:vAlign w:val="bottom"/>
          </w:tcPr>
          <w:p>
            <w:pPr>
              <w:pStyle w:val="TableContents"/>
              <w:bidi w:val="0"/>
              <w:spacing w:before="0" w:after="283"/>
              <w:jc w:val="left"/>
              <w:rPr/>
            </w:pPr>
            <w:r>
              <w:rPr/>
              <w:t>Large accelerated filer</w:t>
            </w:r>
          </w:p>
        </w:tc>
        <w:tc>
          <w:tcPr>
            <w:tcW w:w="106" w:type="dxa"/>
            <w:tcBorders/>
            <w:vAlign w:val="bottom"/>
          </w:tcPr>
          <w:p>
            <w:pPr>
              <w:pStyle w:val="TableContents"/>
              <w:bidi w:val="0"/>
              <w:spacing w:before="0" w:after="283"/>
              <w:jc w:val="left"/>
              <w:rPr/>
            </w:pPr>
            <w:r>
              <w:rPr/>
              <w:t> </w:t>
            </w:r>
          </w:p>
        </w:tc>
        <w:tc>
          <w:tcPr>
            <w:tcW w:w="4320" w:type="dxa"/>
            <w:tcBorders/>
            <w:vAlign w:val="bottom"/>
          </w:tcPr>
          <w:p>
            <w:pPr>
              <w:pStyle w:val="TableContents"/>
              <w:bidi w:val="0"/>
              <w:spacing w:before="0" w:after="283"/>
              <w:jc w:val="left"/>
              <w:rPr/>
            </w:pPr>
            <w:r>
              <w:rPr/>
              <w:t>☐</w:t>
            </w:r>
          </w:p>
        </w:tc>
        <w:tc>
          <w:tcPr>
            <w:tcW w:w="150" w:type="dxa"/>
            <w:tcBorders/>
            <w:vAlign w:val="bottom"/>
          </w:tcPr>
          <w:p>
            <w:pPr>
              <w:pStyle w:val="TableContents"/>
              <w:bidi w:val="0"/>
              <w:spacing w:before="0" w:after="283"/>
              <w:jc w:val="left"/>
              <w:rPr/>
            </w:pPr>
            <w:r>
              <w:rPr/>
              <w:t>  </w:t>
            </w:r>
          </w:p>
        </w:tc>
        <w:tc>
          <w:tcPr>
            <w:tcW w:w="2920" w:type="dxa"/>
            <w:tcBorders/>
            <w:vAlign w:val="bottom"/>
          </w:tcPr>
          <w:p>
            <w:pPr>
              <w:pStyle w:val="TableContents"/>
              <w:bidi w:val="0"/>
              <w:spacing w:before="0" w:after="283"/>
              <w:jc w:val="left"/>
              <w:rPr/>
            </w:pPr>
            <w:r>
              <w:rPr/>
              <w:t>Accelerated filer</w:t>
            </w:r>
          </w:p>
        </w:tc>
        <w:tc>
          <w:tcPr>
            <w:tcW w:w="10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r>
      <w:tr>
        <w:trPr>
          <w:trHeight w:val="30" w:hRule="atLeast"/>
        </w:trPr>
        <w:tc>
          <w:tcPr>
            <w:tcW w:w="2368" w:type="dxa"/>
            <w:tcBorders/>
            <w:vAlign w:val="center"/>
          </w:tcPr>
          <w:p>
            <w:pPr>
              <w:pStyle w:val="TableContents"/>
              <w:bidi w:val="0"/>
              <w:spacing w:before="0" w:after="283"/>
              <w:jc w:val="left"/>
              <w:rPr>
                <w:sz w:val="4"/>
                <w:szCs w:val="4"/>
              </w:rPr>
            </w:pPr>
            <w:r>
              <w:rPr>
                <w:sz w:val="4"/>
                <w:szCs w:val="4"/>
              </w:rPr>
            </w:r>
          </w:p>
        </w:tc>
        <w:tc>
          <w:tcPr>
            <w:tcW w:w="4426" w:type="dxa"/>
            <w:gridSpan w:val="2"/>
            <w:tcBorders/>
            <w:vAlign w:val="center"/>
          </w:tcPr>
          <w:p>
            <w:pPr>
              <w:pStyle w:val="TableContents"/>
              <w:bidi w:val="0"/>
              <w:spacing w:before="0" w:after="283"/>
              <w:jc w:val="left"/>
              <w:rPr>
                <w:sz w:val="4"/>
                <w:szCs w:val="4"/>
              </w:rPr>
            </w:pPr>
            <w:r>
              <w:rPr>
                <w:sz w:val="4"/>
                <w:szCs w:val="4"/>
              </w:rPr>
            </w:r>
          </w:p>
        </w:tc>
        <w:tc>
          <w:tcPr>
            <w:tcW w:w="3070" w:type="dxa"/>
            <w:gridSpan w:val="2"/>
            <w:tcBorders/>
            <w:vAlign w:val="center"/>
          </w:tcPr>
          <w:p>
            <w:pPr>
              <w:pStyle w:val="TableContents"/>
              <w:bidi w:val="0"/>
              <w:spacing w:before="0" w:after="283"/>
              <w:jc w:val="left"/>
              <w:rPr>
                <w:sz w:val="4"/>
                <w:szCs w:val="4"/>
              </w:rPr>
            </w:pPr>
            <w:r>
              <w:rPr>
                <w:sz w:val="4"/>
                <w:szCs w:val="4"/>
              </w:rPr>
            </w:r>
          </w:p>
        </w:tc>
        <w:tc>
          <w:tcPr>
            <w:tcW w:w="341" w:type="dxa"/>
            <w:gridSpan w:val="2"/>
            <w:tcBorders/>
            <w:vAlign w:val="center"/>
          </w:tcPr>
          <w:p>
            <w:pPr>
              <w:pStyle w:val="TableContents"/>
              <w:bidi w:val="0"/>
              <w:spacing w:before="0" w:after="283"/>
              <w:jc w:val="left"/>
              <w:rPr>
                <w:sz w:val="4"/>
                <w:szCs w:val="4"/>
              </w:rPr>
            </w:pPr>
            <w:r>
              <w:rPr>
                <w:sz w:val="4"/>
                <w:szCs w:val="4"/>
              </w:rPr>
            </w:r>
          </w:p>
        </w:tc>
      </w:tr>
      <w:tr>
        <w:trPr/>
        <w:tc>
          <w:tcPr>
            <w:tcW w:w="2368" w:type="dxa"/>
            <w:tcBorders/>
            <w:vAlign w:val="bottom"/>
          </w:tcPr>
          <w:p>
            <w:pPr>
              <w:pStyle w:val="TableContents"/>
              <w:bidi w:val="0"/>
              <w:spacing w:before="0" w:after="283"/>
              <w:jc w:val="left"/>
              <w:rPr/>
            </w:pPr>
            <w:r>
              <w:rPr/>
              <w:t>Non-accelerated filer</w:t>
            </w:r>
          </w:p>
        </w:tc>
        <w:tc>
          <w:tcPr>
            <w:tcW w:w="106" w:type="dxa"/>
            <w:tcBorders/>
            <w:vAlign w:val="bottom"/>
          </w:tcPr>
          <w:p>
            <w:pPr>
              <w:pStyle w:val="TableContents"/>
              <w:bidi w:val="0"/>
              <w:spacing w:before="0" w:after="283"/>
              <w:jc w:val="left"/>
              <w:rPr/>
            </w:pPr>
            <w:r>
              <w:rPr/>
              <w:t> </w:t>
            </w:r>
          </w:p>
        </w:tc>
        <w:tc>
          <w:tcPr>
            <w:tcW w:w="4320" w:type="dxa"/>
            <w:tcBorders/>
            <w:vAlign w:val="bottom"/>
          </w:tcPr>
          <w:p>
            <w:pPr>
              <w:pStyle w:val="TableContents"/>
              <w:bidi w:val="0"/>
              <w:spacing w:before="0" w:after="283"/>
              <w:jc w:val="left"/>
              <w:rPr/>
            </w:pPr>
            <w:r>
              <w:rPr/>
              <w:t>☒</w:t>
            </w:r>
          </w:p>
        </w:tc>
        <w:tc>
          <w:tcPr>
            <w:tcW w:w="150" w:type="dxa"/>
            <w:tcBorders/>
            <w:vAlign w:val="bottom"/>
          </w:tcPr>
          <w:p>
            <w:pPr>
              <w:pStyle w:val="TableContents"/>
              <w:bidi w:val="0"/>
              <w:spacing w:before="0" w:after="283"/>
              <w:jc w:val="left"/>
              <w:rPr/>
            </w:pPr>
            <w:r>
              <w:rPr/>
              <w:t>  </w:t>
            </w:r>
          </w:p>
        </w:tc>
        <w:tc>
          <w:tcPr>
            <w:tcW w:w="2920" w:type="dxa"/>
            <w:tcBorders/>
            <w:vAlign w:val="bottom"/>
          </w:tcPr>
          <w:p>
            <w:pPr>
              <w:pStyle w:val="TableContents"/>
              <w:bidi w:val="0"/>
              <w:spacing w:before="0" w:after="283"/>
              <w:jc w:val="left"/>
              <w:rPr/>
            </w:pPr>
            <w:r>
              <w:rPr/>
              <w:t>Smaller reporting company</w:t>
            </w:r>
          </w:p>
        </w:tc>
        <w:tc>
          <w:tcPr>
            <w:tcW w:w="10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r>
      <w:tr>
        <w:trPr>
          <w:trHeight w:val="30" w:hRule="atLeast"/>
        </w:trPr>
        <w:tc>
          <w:tcPr>
            <w:tcW w:w="2368" w:type="dxa"/>
            <w:tcBorders/>
            <w:vAlign w:val="center"/>
          </w:tcPr>
          <w:p>
            <w:pPr>
              <w:pStyle w:val="TableContents"/>
              <w:bidi w:val="0"/>
              <w:spacing w:before="0" w:after="283"/>
              <w:jc w:val="left"/>
              <w:rPr>
                <w:sz w:val="4"/>
                <w:szCs w:val="4"/>
              </w:rPr>
            </w:pPr>
            <w:r>
              <w:rPr>
                <w:sz w:val="4"/>
                <w:szCs w:val="4"/>
              </w:rPr>
            </w:r>
          </w:p>
        </w:tc>
        <w:tc>
          <w:tcPr>
            <w:tcW w:w="4426" w:type="dxa"/>
            <w:gridSpan w:val="2"/>
            <w:tcBorders/>
            <w:vAlign w:val="center"/>
          </w:tcPr>
          <w:p>
            <w:pPr>
              <w:pStyle w:val="TableContents"/>
              <w:bidi w:val="0"/>
              <w:spacing w:before="0" w:after="283"/>
              <w:jc w:val="left"/>
              <w:rPr>
                <w:sz w:val="4"/>
                <w:szCs w:val="4"/>
              </w:rPr>
            </w:pPr>
            <w:r>
              <w:rPr>
                <w:sz w:val="4"/>
                <w:szCs w:val="4"/>
              </w:rPr>
            </w:r>
          </w:p>
        </w:tc>
        <w:tc>
          <w:tcPr>
            <w:tcW w:w="3070" w:type="dxa"/>
            <w:gridSpan w:val="2"/>
            <w:tcBorders/>
            <w:vAlign w:val="center"/>
          </w:tcPr>
          <w:p>
            <w:pPr>
              <w:pStyle w:val="TableContents"/>
              <w:bidi w:val="0"/>
              <w:spacing w:before="0" w:after="283"/>
              <w:jc w:val="left"/>
              <w:rPr>
                <w:sz w:val="4"/>
                <w:szCs w:val="4"/>
              </w:rPr>
            </w:pPr>
            <w:r>
              <w:rPr>
                <w:sz w:val="4"/>
                <w:szCs w:val="4"/>
              </w:rPr>
            </w:r>
          </w:p>
        </w:tc>
        <w:tc>
          <w:tcPr>
            <w:tcW w:w="341" w:type="dxa"/>
            <w:gridSpan w:val="2"/>
            <w:tcBorders/>
            <w:vAlign w:val="center"/>
          </w:tcPr>
          <w:p>
            <w:pPr>
              <w:pStyle w:val="TableContents"/>
              <w:bidi w:val="0"/>
              <w:spacing w:before="0" w:after="283"/>
              <w:jc w:val="left"/>
              <w:rPr>
                <w:sz w:val="4"/>
                <w:szCs w:val="4"/>
              </w:rPr>
            </w:pPr>
            <w:r>
              <w:rPr>
                <w:sz w:val="4"/>
                <w:szCs w:val="4"/>
              </w:rPr>
            </w:r>
          </w:p>
        </w:tc>
      </w:tr>
      <w:tr>
        <w:trPr/>
        <w:tc>
          <w:tcPr>
            <w:tcW w:w="2368"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320"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2920" w:type="dxa"/>
            <w:tcBorders/>
            <w:vAlign w:val="bottom"/>
          </w:tcPr>
          <w:p>
            <w:pPr>
              <w:pStyle w:val="TableContents"/>
              <w:bidi w:val="0"/>
              <w:spacing w:before="0" w:after="283"/>
              <w:jc w:val="left"/>
              <w:rPr/>
            </w:pPr>
            <w:r>
              <w:rPr/>
              <w:t>Emerging growth company</w:t>
            </w:r>
          </w:p>
        </w:tc>
        <w:tc>
          <w:tcPr>
            <w:tcW w:w="10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r>
    </w:tbl>
    <w:p>
      <w:pPr>
        <w:pStyle w:val="TextBody"/>
        <w:bidi w:val="0"/>
        <w:spacing w:before="120" w:after="0"/>
        <w:jc w:val="left"/>
        <w:rPr>
          <w:rFonts w:ascii="Times New Roman" w:hAnsi="Times New Roman"/>
          <w:sz w:val="16"/>
        </w:rPr>
      </w:pPr>
      <w:r>
        <w:rPr>
          <w:rFonts w:ascii="Times New Roman" w:hAnsi="Times New Roman"/>
          <w:sz w:val="16"/>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This Post-Effective Amendment No. 1 (this “Amendment”) to the Registration Statement on Form S-3ASR (Registration No. 333-293343) (the “Registration Statement”) is being filed pursuant to Rule 414(d) under the Securities Act of 1933, as amended (the “Securities Act”), by Damora Therapeutics, Inc., a Cayman Islands exempted company (“Damora Cayman”), as the successor to Damora Therapeutics, Inc. (formerly known as Galecto, Inc.), a corporation formed under the laws of the State of Delaware (“Damora Delaware”). The Registration Statement was filed with the Securities and Exchange Commission (the “Commission”) on February 10, 2026 and became effective upon filing. </w:t>
      </w:r>
    </w:p>
    <w:p>
      <w:pPr>
        <w:pStyle w:val="TextBody"/>
        <w:bidi w:val="0"/>
        <w:spacing w:before="240" w:after="0"/>
        <w:jc w:val="left"/>
        <w:rPr>
          <w:rFonts w:ascii="Times New Roman" w:hAnsi="Times New Roman"/>
          <w:sz w:val="20"/>
        </w:rPr>
      </w:pPr>
      <w:r>
        <w:rPr>
          <w:rFonts w:ascii="Times New Roman" w:hAnsi="Times New Roman"/>
          <w:sz w:val="20"/>
        </w:rPr>
        <w:t xml:space="preserve">On July 16, 2026, Damora Delaware changed its jurisdiction of incorporation from the State of Delaware to the Cayman Islands, as described further below (the “Redomestication”). Damora Cayman expressly adopts the Registration Statement, as modified by this Amendment, as its own registration statement for all purposes of the Securities Act and the Securities Exchange Act of 1934, as amended (the “Exchange Act”). For the purposes of this Amendment and the Registration Statement, references to the “Company”, the “Registrant”, “we”, “our”, “us” and similar terms mean, as of any time prior to the Redomestication, Damora Delaware, and, as of any time after the Redomestication, Damora Cayman. The information contained in this Amendment sets forth additional information to reflect the Redomestication. All documents filed by the Company under Sections 13(a), 13(c), 14 or 15(d) of the Exchange Act before the effective date of the Redomestication will not reflect the change in our jurisdiction of incorporation or capital structure. </w:t>
      </w:r>
    </w:p>
    <w:p>
      <w:pPr>
        <w:pStyle w:val="TextBody"/>
        <w:bidi w:val="0"/>
        <w:spacing w:before="240" w:after="0"/>
        <w:jc w:val="left"/>
        <w:rPr>
          <w:rFonts w:ascii="Times New Roman" w:hAnsi="Times New Roman"/>
          <w:sz w:val="20"/>
        </w:rPr>
      </w:pPr>
      <w:r>
        <w:rPr>
          <w:rFonts w:ascii="Times New Roman" w:hAnsi="Times New Roman"/>
          <w:sz w:val="20"/>
        </w:rPr>
        <w:t xml:space="preserve">The Redomestication was effected in the manner described in the section titled “Proposal No. 3 – Approval of the Redomestication of the Company” in Damora’s definitive proxy statement filed with the Commission on December 31, 2025 (the “Proxy Statement”). In the Redomestication, Damora Delaware discontinued its existence as a corporation under Section 266 of the Delaware General Corporation Law (the “DGCL”) and, pursuant to Part 12 of the Companies Act, as amended, of the Cayman Islands (the “Companies Act”), continued its existence as a Cayman Islands exempted company limited by shares. The business, assets and liabilities of the Company, as well as its principal place of business and fiscal year, were the same immediately after the Redomestication as they were immediately prior to the Redomestication. In addition, the directors and executive officers of the Company immediately after the Redomestication were the same individuals who were directors and executive officers, respectively, of Damora Delaware immediately prior to the Redomestication.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and upon the effective time of the Redomestication, among other things, (i) each share of common stock, par value $0.00001 per share, of Damora Delaware (the “Damora Delaware Common Stock”) issued and outstanding immediately prior to the Redomestication converted, on a one-for-one basis, into a duly authorized, validly issued, fully paid and nonassessable ordinary share, par value $0.00001 per share, of Damora Cayman (a “Damora Cayman Ordinary Share”), (ii) each share of Series A Non-Voting Convertible Preferred Stock, par value $0.00001 per share, of Damora Delaware issued and outstanding immediately prior to the Redomestication converted, on a one-for-one basis, into a duly authorized, validly issued, fully paid and nonassessable Series A Non-Voting Convertible Preferred Share, par value $0.00001 per share, of Damora Cayman, (iii) each share of Series B Non-Voting Convertible Preferred Stock, par value $0.00001 per share, of Damora Delaware issued and outstanding immediately prior to the Redomestication converted, on a one-for-one basis, into a duly authorized, validly issued, fully paid and nonassessable Series B Non-Voting Convertible Preferred Share, par value $0.00001 per share, of Damora Cayman, (iv) each share of Series C Non-Voting Convertible Preferred Stock, par value $0.00001 per share, of Damora Delaware issued and outstanding immediately prior to the Redomestication converted, on a one-for-one basis, into a duly authorized, validly issued, fully paid and nonassessable Series C Non-Voting Convertible Preferred Share, par value $0.00001 per share, of Damora Cayman, (v) each option to purchase Damora Delaware Common Stock issued and outstanding immediately prior to the Redomestication converted, on a one-for-one basis, into a duly authorized and validly issued option to purchase Damora Cayman Ordinary Shares, (vi) each restricted stock unit of Damora Delaware issued and outstanding immediately prior to the Redomestication converted, on a one-for-one basis, into a duly authorized and validly issued restricted stock unit of Damora Cayman, and (vii) each warrant to purchase shares of Damora Delaware Common Stock issued and outstanding immediately prior to the Redomestication converted, on a one-for-one basis, into a duly authorized and validly issued warrant to purchase Damora Cayman Ordinary Shares.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rights of holders of Damora Cayman Ordinary Shares are now governed by Damora Cayman’s memorandum and articles of association (the “Cayman Articles”) and Cayman Islands law, which are described in the section of the Proxy Statement titled “Proposal No. 3 – Approval of the Redomestication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registration fees were paid at the time of filing of the Registration Statement. Because no additional securities are being registered, no further registration fee is required.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EXPLANATORY NOTE</w:t>
      </w:r>
    </w:p>
    <w:p>
      <w:pPr>
        <w:pStyle w:val="TextBody"/>
        <w:bidi w:val="0"/>
        <w:spacing w:before="240" w:after="0"/>
        <w:jc w:val="left"/>
        <w:rPr>
          <w:rFonts w:ascii="Times New Roman" w:hAnsi="Times New Roman"/>
          <w:sz w:val="20"/>
        </w:rPr>
      </w:pPr>
      <w:r>
        <w:rPr>
          <w:rFonts w:ascii="Times New Roman" w:hAnsi="Times New Roman"/>
          <w:sz w:val="20"/>
        </w:rPr>
        <w:t xml:space="preserve">This registration statement contains the following documents: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base prospectus which covers the offering, issuance and sale of an indeterminate amount of ordinary shares, preferred shares, debt securities, warrants and/or units, in each case from time to time in one or more offerings;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amendment no. 1 to the sales agreement prospectus supplement dated February 10, 2026, covering the offering, issuance and sale by us of up to a maximum aggregate offering price of $150,000,000 of our ordinary shares that may be issued and sold under an amended and restated sales agreement, dated August 10, 2026, with TD Securities (USA) LLC (the “Sales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base prospectus immediately follows this explanatory note. The specific terms of any securities to be offered pursuant to the base prospectus other than the ordinary shares under the Sales Agreement will be specified in a prospectus supplement to the base prospectus. The specific terms of the ordinary shares to be issued and sold under the Sales Agreement are specified in the sales agreement prospectus supplement that immediately follows the base prospectus.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PROSPECTUS</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536190" cy="65849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36190" cy="65849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ORDINARY SHARES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SHARES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UNITS</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we may issue, in one or more series or classes, an indeterminate number of our ordinary shares, preferred shares, debt securities, warrants and/or units, at prices and on terms that we will determine at the time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We may offer these securities through agents, underwriters or dealers or directly to investors. See “Plan of Distribution” in this prospectus. This prospectus provides you with a general description of the securities we may offer. Each time we offer securities, we will provide specific terms of the securities offered in a supplement to this prospectus. We may also authorize one or more free writing prospectuses to be provided to you in connection with these offerings. The prospectus supplement and any related free writing prospectus may also add, update or change information contained in this prospectus. We may not sell any securities under this prospectus without delivery of the applicable prospectus supplement. If information in any prospectus supplement is inconsistent with the information in this prospectus, then the information in that prospectus supplement will apply and will supersede the information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this prospectus, the applicable prospectus supplement and any related free writing prospectus carefully, as well as any documents incorporated by reference, before you invest in any of the securities being offered. </w:t>
      </w:r>
    </w:p>
    <w:p>
      <w:pPr>
        <w:pStyle w:val="TextBody"/>
        <w:bidi w:val="0"/>
        <w:spacing w:before="240" w:after="0"/>
        <w:jc w:val="left"/>
        <w:rPr>
          <w:rFonts w:ascii="Times New Roman" w:hAnsi="Times New Roman"/>
          <w:sz w:val="20"/>
        </w:rPr>
      </w:pPr>
      <w:r>
        <w:rPr>
          <w:rFonts w:ascii="Times New Roman" w:hAnsi="Times New Roman"/>
          <w:sz w:val="20"/>
        </w:rPr>
        <w:t xml:space="preserve">Our ordinary shares are listed on the Nasdaq Capital Market under the symbol “DMRA.” The last reported sale price of our ordinary shares on the Nasdaq Capital Market on August 7, 2026 was $29.92 per share. We recommend that you obtain current market quotations for our ordinary shares prior to making an investment decision.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 xml:space="preserve">Investing in our securities involves a high degree of risk. You should review carefully the risks and uncertainties described under the heading </w:t>
      </w:r>
      <w:r>
        <w:rPr>
          <w:rFonts w:ascii="Times New Roman" w:hAnsi="Times New Roman"/>
          <w:sz w:val="24"/>
        </w:rPr>
        <w:t>“</w:t>
      </w:r>
      <w:hyperlink w:anchor="toca161734_4">
        <w:r>
          <w:rPr>
            <w:rStyle w:val="InternetLink"/>
            <w:rFonts w:ascii="Times New Roman" w:hAnsi="Times New Roman"/>
            <w:b/>
            <w:sz w:val="24"/>
          </w:rPr>
          <w:t>Risk Factors</w:t>
        </w:r>
      </w:hyperlink>
      <w:r>
        <w:rPr>
          <w:rFonts w:ascii="Times New Roman" w:hAnsi="Times New Roman"/>
          <w:b/>
          <w:sz w:val="24"/>
        </w:rPr>
        <w:t>” contained in this prospectus beginning on page 6 and any applicable prospectus supplement, and under similar headings in the other documents that are incorporated by reference into this prospectus.</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the applicable prospectus supplement, the preferred shares, debt securities, warrants and units will not be listed on any securities or stock exchange. There is no market through which the preferred shares, debt securities, warrants and units may be sold and purchasers may not be able to resell such securities purchased under this prospectus and the applicable prospectus supplement. This may affect the pricing of the preferred shares, debt securities, warrants and units in the secondary market, the transparency and availability of trading prices, the liquidity of the preferred shares, debt securities, warrants and units and the extent of our regulation. </w:t>
      </w:r>
    </w:p>
    <w:p>
      <w:pPr>
        <w:pStyle w:val="TextBody"/>
        <w:bidi w:val="0"/>
        <w:spacing w:before="240" w:after="0"/>
        <w:jc w:val="left"/>
        <w:rPr>
          <w:rFonts w:ascii="Times New Roman" w:hAnsi="Times New Roman"/>
          <w:b/>
          <w:sz w:val="20"/>
        </w:rPr>
      </w:pPr>
      <w:r>
        <w:rPr>
          <w:rFonts w:ascii="Times New Roman" w:hAnsi="Times New Roman"/>
          <w:b/>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dated August 10,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Table of Contents</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a161734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a161734_2">
              <w:r>
                <w:rPr>
                  <w:rStyle w:val="InternetLink"/>
                  <w:rFonts w:ascii="Times New Roman" w:hAnsi="Times New Roman"/>
                  <w:sz w:val="20"/>
                </w:rPr>
                <w:t>SPECIAL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a161734_3">
              <w:r>
                <w:rPr>
                  <w:rStyle w:val="InternetLink"/>
                  <w:rFonts w:ascii="Times New Roman" w:hAnsi="Times New Roman"/>
                  <w:sz w:val="20"/>
                </w:rPr>
                <w:t>THE COMPANY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a161734_4">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a161734_5">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a161734_6">
              <w:r>
                <w:rPr>
                  <w:rStyle w:val="InternetLink"/>
                  <w:rFonts w:ascii="Times New Roman" w:hAnsi="Times New Roman"/>
                  <w:sz w:val="20"/>
                </w:rPr>
                <w:t>SECURITIES WE MAY OFFER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a161734_7">
              <w:r>
                <w:rPr>
                  <w:rStyle w:val="InternetLink"/>
                  <w:rFonts w:ascii="Times New Roman" w:hAnsi="Times New Roman"/>
                  <w:sz w:val="20"/>
                </w:rPr>
                <w:t>DESCRIPTION OF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a161734_8">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a161734_9">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a161734_10">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a161734_11">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a161734_12">
              <w:r>
                <w:rPr>
                  <w:rStyle w:val="InternetLink"/>
                  <w:rFonts w:ascii="Times New Roman" w:hAnsi="Times New Roman"/>
                  <w:sz w:val="20"/>
                </w:rPr>
                <w:t>INCORPORATION OF CERTAIN INFORMATION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oca161734_1"/>
      <w:bookmarkEnd w:id="3"/>
      <w:r>
        <w:rPr>
          <w:rFonts w:ascii="Times New Roman" w:hAnsi="Times New Roman"/>
          <w:b/>
          <w:sz w:val="20"/>
        </w:rPr>
        <w:t>ABOUT THIS PROSPECTUS</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an automatic shelf registration statement on Form S-3 (File No. 333-293343) that we filed with the Securities and Exchange Commission (the “SEC” or the “Commission”) as a “well-known seasoned issuer” as defined in Rule 405 under the Securities Act of 1933, as amended (the “Securities Act”), utilizing a “shelf” registration process. This prospectus forms part of Post-Effective Amendment No. 1 to that registration statement, which we filed with the Commission pursuant to Rule 414(d) under the Securities Act in connection with our redomestication from the State of Delaware to the Cayman Islands, and amends and restates in its entirety the prospectus dated February 10, 2026 included in that registration statement. Under this shelf registration process, we may sell any combination of the securities described in this prospectus from time to time in one or more offerings. This prospectus provides you with a general description of the securities we may offer. </w:t>
      </w:r>
    </w:p>
    <w:p>
      <w:pPr>
        <w:pStyle w:val="TextBody"/>
        <w:bidi w:val="0"/>
        <w:spacing w:before="240" w:after="0"/>
        <w:jc w:val="left"/>
        <w:rPr>
          <w:rFonts w:ascii="Times New Roman" w:hAnsi="Times New Roman"/>
          <w:sz w:val="20"/>
        </w:rPr>
      </w:pPr>
      <w:r>
        <w:rPr>
          <w:rFonts w:ascii="Times New Roman" w:hAnsi="Times New Roman"/>
          <w:sz w:val="20"/>
        </w:rPr>
        <w:t>Each time we sell securities under this prospectus, we will provide a prospectus supplement that will contain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in any documents that we have incorporated by reference into this prospectus. You should carefully read both this prospectus and any prospectus supplement together with additional information under the headings “</w:t>
      </w:r>
      <w:r>
        <w:rPr>
          <w:rFonts w:ascii="Times New Roman" w:hAnsi="Times New Roman"/>
          <w:i/>
          <w:sz w:val="20"/>
        </w:rPr>
        <w:t>Where You Can Find More Information</w:t>
      </w:r>
      <w:r>
        <w:rPr>
          <w:rFonts w:ascii="Times New Roman" w:hAnsi="Times New Roman"/>
          <w:sz w:val="20"/>
        </w:rPr>
        <w:t>” and “</w:t>
      </w:r>
      <w:r>
        <w:rPr>
          <w:rFonts w:ascii="Times New Roman" w:hAnsi="Times New Roman"/>
          <w:i/>
          <w:sz w:val="20"/>
        </w:rPr>
        <w:t>Incorporation of Certain Information by Reference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may not be used to consummate a sale of securities unless it is accompanied by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you with any information other than that contained or incorporated by reference in this prospectus and any applicable prospectus supplement, along with the information contained in any free writing prospectuses we have authorized for use in connection with a specific offering. We take no responsibility for, and can provide no assurance as to the reliability of, any other information that others may give you. This prospectus is an offer to sell only the securities offered hereby, but only under circumstances and in jurisdictions where it is lawful to do so. This prospectus, any applicable supplement to this prospectus or any related free writing prospectus do not constitute an offer to sell or the solicitation of an offer to buy any securities other than the registered securities to which they relate, nor do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 </w:t>
      </w:r>
    </w:p>
    <w:p>
      <w:pPr>
        <w:pStyle w:val="TextBody"/>
        <w:bidi w:val="0"/>
        <w:spacing w:before="240" w:after="0"/>
        <w:jc w:val="left"/>
        <w:rPr>
          <w:rFonts w:ascii="Times New Roman" w:hAnsi="Times New Roman"/>
          <w:sz w:val="20"/>
        </w:rPr>
      </w:pPr>
      <w:r>
        <w:rPr>
          <w:rFonts w:ascii="Times New Roman" w:hAnsi="Times New Roman"/>
          <w:sz w:val="20"/>
        </w:rPr>
        <w:t xml:space="preserve">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are sold, on a later date.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requires, we use the terms “Damora,” “Company,” “we,” “us,” and “our” in this prospectus to refer to Damora Therapeutics, Inc. and, where appropriate, our consolidated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oca161734_2"/>
      <w:bookmarkEnd w:id="4"/>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including the documents that we incorporate by reference, contains “forward-looking statements” within the meaning of Section 27A of the Securities Act, and Section 21E of the Securities Exchange Act of 1934, as amended (the “Exchange Act”). These forward-looking statements involve a number of risks and uncertainties. We caution readers that any forward-looking statement is not a guarantee of future performance and that actual results could differ materially from those contained in the forward-looking statement. These statements are based on current expectations of future events. </w:t>
      </w:r>
    </w:p>
    <w:p>
      <w:pPr>
        <w:pStyle w:val="TextBody"/>
        <w:bidi w:val="0"/>
        <w:spacing w:before="240" w:after="0"/>
        <w:jc w:val="left"/>
        <w:rPr>
          <w:rFonts w:ascii="Times New Roman" w:hAnsi="Times New Roman"/>
          <w:sz w:val="20"/>
        </w:rPr>
      </w:pPr>
      <w:r>
        <w:rPr>
          <w:rFonts w:ascii="Times New Roman" w:hAnsi="Times New Roman"/>
          <w:sz w:val="20"/>
        </w:rPr>
        <w:t xml:space="preserve">All statements, other than statements of historical facts contained in this prospectus, including, without limitation, statements regarding: our ability to achieve the expected benefits or opportunities and related timing with respect to the Asset Acquisition of Damora (each as defined below), our future results of operations and financial position, business strategy, the length of time that we believe our existing cash resources will fund our operations, our market size, our potential growth opportunities, our preclinical and future clinical development activities, the efficacy and safety profile of our product candidates, the potential therapeutic benefits and economic value of our product candidates, the timing and results of preclinical studies and clinical trials, the expected impact of adverse macroeconomic conditions, including inflation, slower growth or recession, new or increased tariffs and other barriers to trade, changes to fiscal and monetary policy or government budget dynamics (particularly in the pharmaceutical and biotech areas), volatility in financial markets and other challenges in the global economy, and the receipt and timing of potential regulatory designations, approvals and commercialization of product candidates. Forward-looking statements generally relate to future events or our future financial or operating performance. The words “believe,” “may,” “will,” “potentially,” “estimate,” “continue,” “anticipate,” “predict,” “target,” “intend,” “could,” “would,” “should,” “project,” “plan,” “expect,” and similar expressions that convey uncertainty of future events or outcomes are intended to identify forward-looking statements, although not all forward-looking statements contain these identifying words.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subject to a number of risks, uncertainties and assumptions.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Factors that might cause such a difference include those referred to under the section titled “Risk Factors” in this prospectus and discussed in our most recent Annual Report on Form 10-K, as supplemented and updated by subsequent Quarterly Reports on Form 10-Q and Current Reports on Form 8-K that we have filed or will file with the SEC, and in other documents which are incorporated by reference into this prospectus, as well as the risk factors and other information contained in or incorporated by reference into any accompanying prospectus supplement. You are cautioned not to place undue reliance on these forward-looking statements, which speak only as of the date of this prospectus or, in the case of documents referred to or incorporated by reference, the date of those documents.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statements that “we believe” and similar statements reflect our beliefs and opinions on the relevant subject. These statements are based on information available to us as of the date of this prospectus.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 </w:t>
      </w:r>
    </w:p>
    <w:p>
      <w:pPr>
        <w:pStyle w:val="TextBody"/>
        <w:bidi w:val="0"/>
        <w:spacing w:before="240" w:after="0"/>
        <w:jc w:val="left"/>
        <w:rPr>
          <w:rFonts w:ascii="Times New Roman" w:hAnsi="Times New Roman"/>
          <w:sz w:val="20"/>
        </w:rPr>
      </w:pPr>
      <w:r>
        <w:rPr>
          <w:rFonts w:ascii="Times New Roman" w:hAnsi="Times New Roman"/>
          <w:sz w:val="20"/>
        </w:rPr>
        <w:t xml:space="preserve">All subsequent written or oral forward-looking statements attributable to us or any person acting on our behalf are expressly qualified in their entirety by the cautionary statements contained or referred to in this section. We do not undertake any obligation to release publicly any revisions to these forward-looking statements to reflect events or circumstances after the date of this prospectus or to reflect the occurrence of unanticipated events, except as may be required under applicable U.S. securities laws. If we do update one or more forward-looking statements, no inference should be drawn that we will make additional updates with respect to those or other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oca161734_3"/>
      <w:bookmarkEnd w:id="5"/>
      <w:r>
        <w:rPr>
          <w:rFonts w:ascii="Times New Roman" w:hAnsi="Times New Roman"/>
          <w:b/>
          <w:sz w:val="20"/>
        </w:rPr>
        <w:t xml:space="preserve">THE COMPANY </w:t>
      </w:r>
    </w:p>
    <w:p>
      <w:pPr>
        <w:pStyle w:val="TextBody"/>
        <w:bidi w:val="0"/>
        <w:spacing w:before="240" w:after="0"/>
        <w:jc w:val="left"/>
        <w:rPr>
          <w:rFonts w:ascii="Times New Roman" w:hAnsi="Times New Roman"/>
          <w:i/>
          <w:sz w:val="20"/>
        </w:rPr>
      </w:pPr>
      <w:r>
        <w:rPr>
          <w:rFonts w:ascii="Times New Roman" w:hAnsi="Times New Roman"/>
          <w:i/>
          <w:sz w:val="20"/>
        </w:rPr>
        <w:t xml:space="preserve">All references to “our product candidates,” “our programs” and “our pipeline” in this prospectus include the research programs with respect to which we have the option to acquire intellectual property license rights to pursuant to that certain antibody discovery and option agreement by and among Damora Therapeutics, Inc. (“Damora”), Paragon Therapeutics, Inc. (“Paragon”) and Paramora Holding LLC (“Paramora”), dated October 7, 2025 (the “Paragon Option Agreement”), which we assumed pursuant to our acquisition of Damora (the “Asset Acquisition”). As of the date of this prospectus, we have exercised the options for DMR-001 and DMR-002. We have not exercised the options for DMR-003 or DMR-004 or entered into a license agreement for DMR-001, DMR-002, DMR-003, or DMR-004. We expect to enter into a single definitive license agreement for DMR-001 and DMR-002 in the third quarter of 2026.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a biopharmaceutical company developing therapies for the treatment of hematologic disorders. We currently have three product candidates designed to treat myeloproliferative neoplasms (“MPNs”), a group of related, chronic disorders of the bone marrow, the first of which recently received approval to begin a Phase 1/1b clinical trial. </w:t>
      </w:r>
    </w:p>
    <w:p>
      <w:pPr>
        <w:pStyle w:val="TextBody"/>
        <w:bidi w:val="0"/>
        <w:spacing w:before="240" w:after="0"/>
        <w:jc w:val="left"/>
        <w:rPr>
          <w:rFonts w:ascii="Times New Roman" w:hAnsi="Times New Roman"/>
          <w:sz w:val="20"/>
        </w:rPr>
      </w:pPr>
      <w:r>
        <w:rPr>
          <w:rFonts w:ascii="Times New Roman" w:hAnsi="Times New Roman"/>
          <w:sz w:val="20"/>
        </w:rPr>
        <w:t xml:space="preserve">These candidates leverage multiple distinct antibody mechanisms to target mutCALR, and together have the potential to address the full spectrum of patients with mutCALR-driven MPNs, regardless of mutation type, disease subtype or disease severity. Combined with proprietary antibody design features enabling high potency across CALR mutation types, we believe each asset profile has best-in-class potential. Our portfolio of mutCALR targeted therapies includes: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DMR-001</w:t>
            </w:r>
            <w:r>
              <w:rPr>
                <w:rFonts w:ascii="Times New Roman" w:hAnsi="Times New Roman"/>
                <w:sz w:val="20"/>
              </w:rPr>
              <w:t xml:space="preserve">, an Fc-null antibody designed to block mutCALR-mediated oncogenic signaling, without engaging the immune system’s effector functions.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DMR-002</w:t>
            </w:r>
            <w:r>
              <w:rPr>
                <w:rFonts w:ascii="Times New Roman" w:hAnsi="Times New Roman"/>
                <w:sz w:val="20"/>
              </w:rPr>
              <w:t xml:space="preserve">, an afucosylated antibody designed to enhance antibody-dependent cellular cytotoxicity and amplify natural immune killing of malignant cells.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DMR-003</w:t>
            </w:r>
            <w:r>
              <w:rPr>
                <w:rFonts w:ascii="Times New Roman" w:hAnsi="Times New Roman"/>
                <w:sz w:val="20"/>
              </w:rPr>
              <w:t xml:space="preserve">, a bi-specific T-cell engager antibody designed to recruit and direct T-cell-mediated killing of malignant cells. </w:t>
            </w:r>
          </w:p>
        </w:tc>
      </w:tr>
    </w:tbl>
    <w:p>
      <w:pPr>
        <w:pStyle w:val="TextBody"/>
        <w:bidi w:val="0"/>
        <w:spacing w:before="240" w:after="0"/>
        <w:jc w:val="left"/>
        <w:rPr>
          <w:rFonts w:ascii="Times New Roman" w:hAnsi="Times New Roman"/>
          <w:sz w:val="20"/>
        </w:rPr>
      </w:pPr>
      <w:r>
        <w:rPr>
          <w:rFonts w:ascii="Times New Roman" w:hAnsi="Times New Roman"/>
          <w:sz w:val="20"/>
        </w:rPr>
        <w:t xml:space="preserve">Both DMR-001 and DMR-002 were designed to have an extended half-life supporting convenient once-monthly subcutaneous administration. </w:t>
      </w:r>
    </w:p>
    <w:p>
      <w:pPr>
        <w:pStyle w:val="TextBody"/>
        <w:bidi w:val="0"/>
        <w:spacing w:before="240" w:after="0"/>
        <w:jc w:val="left"/>
        <w:rPr>
          <w:rFonts w:ascii="Times New Roman" w:hAnsi="Times New Roman"/>
          <w:sz w:val="20"/>
        </w:rPr>
      </w:pPr>
      <w:r>
        <w:rPr>
          <w:rFonts w:ascii="Times New Roman" w:hAnsi="Times New Roman"/>
          <w:sz w:val="20"/>
        </w:rPr>
        <w:t xml:space="preserve">Beginning with our lead asset DMR-001, we are developing these candidates for the treatment of essential thrombocythemia (“ET”), an MPN associated with the overproduction of platelets, and myelofibrosis (“MF”), an MPN involving the overproliferation of blood cells and deposition of fibrous material in the bone marrow and spleen. Approximately 25% and 35% of cases of ET and MF, respectively, are caused by mutCALR rather than mutations in Janus-associated kinase 2 (“JAK2”). In contrast to marketed therapies for ET and MF, DMR-001 is designed to selectively target cells that express mutCALR while avoiding the adverse effects associated with non-specific cytoreductive drugs. Furthermore, DMR-001 was designed to have increased affinity, potency and a prolonged half-life when compared with other antibodies in development that target mutCALR. We believe that DMR-001’s potential to combine increased clinical activity against all mutCALR subtypes and improved pharmacokinetics enabling optimized subcutaneous administration position it as a potential best-in-class therapy for patients with ET and MF. </w:t>
      </w:r>
    </w:p>
    <w:p>
      <w:pPr>
        <w:pStyle w:val="TextBody"/>
        <w:bidi w:val="0"/>
        <w:spacing w:before="240" w:after="0"/>
        <w:jc w:val="left"/>
        <w:rPr>
          <w:rFonts w:ascii="Times New Roman" w:hAnsi="Times New Roman"/>
          <w:sz w:val="20"/>
        </w:rPr>
      </w:pPr>
      <w:r>
        <w:rPr>
          <w:rFonts w:ascii="Times New Roman" w:hAnsi="Times New Roman"/>
          <w:sz w:val="20"/>
        </w:rPr>
        <w:t xml:space="preserve">MPNs are caused by excessive proliferation of myeloid cells. In some patients, including ET patients, MPNs are considered chronic diseases that lead to significant decreases in quality of life. MPNs also include MF, which is associated with poor prognosis and increased mortality. One feature that makes MPNs attractive indications for drug development is that mutations in just a small number of genes are responsible for a significant percentage of cases, which enables the opportunity to develop targeted therapies. Our goal is to develop a portfolio of targeted mutation-directed candidates to address the full spectrum of patients with mutCALR-driven MPNs.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recently initiated our Phase 1/1b trial of DMR-001 in ET and MF patients, with receipt of health authority approval in the first country. We plan to complete additional regulatory submissions for DMR-001 in the second half of 2026 to expand the Phase 1/1b trial globally and enable two proof-of-concept readouts beginning mid-2027. In parallel to advancing DMR-001, we plan to make our first regulatory submission for DMR-002 in the second half of 2026 and for DMR-003 in 2027. </w:t>
      </w:r>
    </w:p>
    <w:p>
      <w:pPr>
        <w:pStyle w:val="TextBody"/>
        <w:bidi w:val="0"/>
        <w:spacing w:before="360" w:after="0"/>
        <w:jc w:val="left"/>
        <w:rPr>
          <w:rFonts w:ascii="Times New Roman" w:hAnsi="Times New Roman"/>
          <w:b/>
          <w:sz w:val="20"/>
        </w:rPr>
      </w:pPr>
      <w:r>
        <w:rPr>
          <w:rFonts w:ascii="Times New Roman" w:hAnsi="Times New Roman"/>
          <w:b/>
          <w:sz w:val="20"/>
        </w:rPr>
        <w:t xml:space="preserve">Recent Developments </w:t>
      </w:r>
    </w:p>
    <w:p>
      <w:pPr>
        <w:pStyle w:val="TextBody"/>
        <w:bidi w:val="0"/>
        <w:spacing w:before="120" w:after="0"/>
        <w:jc w:val="left"/>
        <w:rPr>
          <w:rFonts w:ascii="Times New Roman" w:hAnsi="Times New Roman"/>
          <w:sz w:val="20"/>
        </w:rPr>
      </w:pPr>
      <w:r>
        <w:rPr>
          <w:rFonts w:ascii="Times New Roman" w:hAnsi="Times New Roman"/>
          <w:sz w:val="20"/>
        </w:rPr>
        <w:t xml:space="preserve">On July 16, 2026, we changed our jurisdiction of incorporation from the State of Delaware to the Cayman Islands (the “Redomestication”). The Redomestication was effected pursuant to a plan of conversion and was approved by our shareholders as described in our definitive proxy statement filed with the SEC on December 31, 2025. In the Redomestication, Damora Therapeutics, Inc., a Delaware corporation (“Damora Delaware”), discontinued its existence as a corporation under Section 266 of the Delaware General Corporation Law and, pursuant to Part 12 of the Companies Act (as amended) of the Cayman Islands, continued its existence as a Cayman Islands exempted company limited by shares (“Damora Cayman”). Our business, assets and liabilities, principal place of business, fiscal year, and directors and executive officers were the same immediately after the Redomestication as they were immediately prior to the Redomestication.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and upon the effective time of the Redomestication, among other things, (i) each share of common stock, par value $0.00001 per share, of Damora Delaware (the “Damora Delaware Common Stock”) issued and outstanding immediately prior to the Redomestication converted, on a one-for-one basis, into a duly authorized, validly issued, fully paid and nonassessable ordinary share, par value $0.00001 per share, of Damora Cayman (a “Damora Cayman Ordinary Share”), (ii) each share of Series A Non-Voting Convertible Preferred Stock, par value $0.00001 per share, of Damora Delaware issued and outstanding immediately prior to the Redomestication converted, on a one-for-one basis, into a duly authorized, validly issued, fully paid and nonassessable Series A Non-Voting Convertible Preferred Share, par value $0.00001 per share, of Damora Cayman (“Series A Preferred Shares”), (iii) each share of Series B Non-Voting Convertible Preferred Stock, par value $0.00001 per share, of Damora Delaware issued and outstanding immediately prior to the Redomestication converted, on a one-for-one basis, into a duly authorized, validly issued, fully paid and nonassessable Series B Non-Voting Convertible Preferred Share, par value $0.00001 per share, of Damora Cayman (“Series B Preferred Shares”), (iv) each share of Series C Non-Voting Convertible Preferred Stock, par value $0.00001 per share, of Damora Delaware issued and outstanding immediately prior to the Redomestication converted, on a one-for-one basis, into a duly authorized, validly issued, fully paid and nonassessable Series C Non-Voting Convertible Preferred Share, par value $0.00001 per share, of Damora Cayman (“Series C Preferred Shares”), (v) each option to purchase Damora Delaware Common Stock issued and outstanding immediately prior to the Redomestication converted, on a one-for-one basis, into a duly authorized and validly issued option to purchase Damora Cayman Ordinary Shares, (vi) each restricted stock unit of Damora Delaware issued and outstanding immediately prior to the Redomestication converted, on a one-for-one basis, into a duly authorized and validly issued restricted stock unit of Damora Cayman, and (vii) each warrant to purchase shares of Damora Delaware Common Stock issued and outstanding immediately prior to the Redomestication converted, on a one-for-one basis, into a duly authorized and validly issued warrant to purchase Damora Cayman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Our ordinary shares continue to be listed on the Nasdaq Capital Market under the symbol “DMRA.” The rights of holders of our ordinary shares are now governed by Damora Cayman’s memorandum and articles of association and Cayman Islands law.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prospectus, references to the “Company”, the “Registrant”, “we”, “our”, “us” and similar terms mean, as of any time prior to the Redomestication, Damora Delaware, and, as of any time after the Redomestication, Damora Cayman. Unless otherwise indicated, all references in this prospectus to our ordinary shares or preferred shares, and all share and per share amounts, including as of or for periods on or prior to the effective date of the Redomestication, give effect to the Redomestication.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Corporate Information</w:t>
      </w:r>
    </w:p>
    <w:p>
      <w:pPr>
        <w:pStyle w:val="TextBody"/>
        <w:bidi w:val="0"/>
        <w:spacing w:before="120" w:after="0"/>
        <w:jc w:val="left"/>
        <w:rPr>
          <w:rFonts w:ascii="Times New Roman" w:hAnsi="Times New Roman"/>
          <w:sz w:val="20"/>
        </w:rPr>
      </w:pPr>
      <w:r>
        <w:rPr>
          <w:rFonts w:ascii="Times New Roman" w:hAnsi="Times New Roman"/>
          <w:sz w:val="20"/>
        </w:rPr>
        <w:t xml:space="preserve">We were founded as Galecto Biotech AB, a Swedish company, in 2011 and incorporated in Delaware as Galecto, Inc. in October 2019. On November 10, 2025, we completed the Asset Acquisition. On March 6, 2026, we changed the name of the Company from “Galecto, Inc.” to “Damora Therapeutics, Inc.” On July 16, 2026, we changed our jurisdiction of incorporation from the State of Delaware to the Cayman Islands, becoming a Cayman Islands exempted company. </w:t>
      </w:r>
    </w:p>
    <w:p>
      <w:pPr>
        <w:pStyle w:val="TextBody"/>
        <w:bidi w:val="0"/>
        <w:spacing w:before="240" w:after="0"/>
        <w:jc w:val="left"/>
        <w:rPr>
          <w:rFonts w:ascii="Times New Roman" w:hAnsi="Times New Roman"/>
          <w:sz w:val="20"/>
        </w:rPr>
      </w:pPr>
      <w:r>
        <w:rPr>
          <w:rFonts w:ascii="Times New Roman" w:hAnsi="Times New Roman"/>
          <w:sz w:val="20"/>
        </w:rPr>
        <w:t xml:space="preserve">Our principal executive offices are located at 221 Crescent Street, Building 23, Suite 105, Waltham, Massachusetts 02453, and our telephone number is (781) 281-9020. Our website address is www.damoratx.com. The information contained on, or that can be accessed through, our website is not part of, and is not incorporated by reference into, this prospectus. We have included our website address in this prospectus solely as an inactive textual reference. Investors should not rely on any such information in deciding whether to purchase our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oca161734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risks. You should carefully consider the risks, uncertainties and other factors described in our most recent Annual Report on Form 10-K, as supplemented and updated by subsequent Quarterly Reports on Form 10-Q and Current Reports on Form 8-K that we have filed or will file with the SEC, and in other documents that are incorporated by reference into this prospectus, as well as the risk factors and other information contained in or incorporated by reference into any accompanying prospectus supplement, before investing in any of our securities. Our business, financial condition, results of operations, cash flows or prospects could be materially and adversely affected by any of these risks. The risks and uncertainties described in the documents incorporated by reference herein are not the only risks and uncertainties that you may face. </w:t>
      </w:r>
    </w:p>
    <w:p>
      <w:pPr>
        <w:pStyle w:val="TextBody"/>
        <w:bidi w:val="0"/>
        <w:spacing w:before="240" w:after="0"/>
        <w:jc w:val="left"/>
        <w:rPr>
          <w:rFonts w:ascii="Times New Roman" w:hAnsi="Times New Roman"/>
          <w:sz w:val="20"/>
        </w:rPr>
      </w:pPr>
      <w:r>
        <w:rPr>
          <w:rFonts w:ascii="Times New Roman" w:hAnsi="Times New Roman"/>
          <w:sz w:val="20"/>
        </w:rPr>
        <w:t>For more information about our SEC filings, please see “</w:t>
      </w:r>
      <w:r>
        <w:rPr>
          <w:rFonts w:ascii="Times New Roman" w:hAnsi="Times New Roman"/>
          <w:i/>
          <w:sz w:val="20"/>
        </w:rPr>
        <w:t>Where You Can Find More Information</w:t>
      </w:r>
      <w:r>
        <w:rPr>
          <w:rFonts w:ascii="Times New Roman" w:hAnsi="Times New Roman"/>
          <w:sz w:val="20"/>
        </w:rPr>
        <w:t>” and “</w:t>
      </w:r>
      <w:r>
        <w:rPr>
          <w:rFonts w:ascii="Times New Roman" w:hAnsi="Times New Roman"/>
          <w:i/>
          <w:sz w:val="20"/>
        </w:rPr>
        <w:t>Incorporation of Certain Information by Reference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oca161734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retain broad discretion over the use of the net proceeds from the sale of the securities offered hereby. Unless otherwise specified in a prospectus supplement accompanying this prospectus, the net proceeds from the sale by us of the securities to which this prospectus relates will be used for preclinical studies, clinical trials, and manufacturing in support of our antibody programs, as well as for additional research and development activities, working capital, and general corporate purposes. We may also use a portion of the proceeds to license, acquire or invest in complementary businesses, technology, products or assets, however, we have no current commitments to do so. Our expected use of proceeds from the sale of the securities offered hereby represents our current intentions based on our present plans and business condition. As of the date of this prospectus, we cannot predict with certainty all of the particular uses for the proceeds to be received from the sale of the securities offered hereby or the amounts that we will actually spend on the uses set forth above. </w:t>
      </w:r>
    </w:p>
    <w:p>
      <w:pPr>
        <w:pStyle w:val="TextBody"/>
        <w:bidi w:val="0"/>
        <w:spacing w:before="240" w:after="0"/>
        <w:jc w:val="left"/>
        <w:rPr>
          <w:rFonts w:ascii="Times New Roman" w:hAnsi="Times New Roman"/>
          <w:sz w:val="20"/>
        </w:rPr>
      </w:pPr>
      <w:r>
        <w:rPr>
          <w:rFonts w:ascii="Times New Roman" w:hAnsi="Times New Roman"/>
          <w:sz w:val="20"/>
        </w:rPr>
        <w:t xml:space="preserve">Pending the use of the net proceeds, we may invest the proceeds in a variety of capital preservation investments, including interest-bearing, investment-grade securities, certificates of deposit or government securities. When we offer and sell the securities to which this prospectus relates, the prospectus supplement related to such offering will set forth our intended use of the proceeds, if any, received from the sale of such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oca161734_6"/>
      <w:bookmarkEnd w:id="8"/>
      <w:r>
        <w:rPr>
          <w:rFonts w:ascii="Times New Roman" w:hAnsi="Times New Roman"/>
          <w:b/>
          <w:sz w:val="20"/>
        </w:rPr>
        <w:t xml:space="preserve">SECURITIES WE MAY OFFER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summary descriptions of the securities we may offer from time to time. These summary descriptions are not meant to be complete descriptions of each security. The particular terms of any security will be described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oca161734_7"/>
      <w:bookmarkEnd w:id="9"/>
      <w:r>
        <w:rPr>
          <w:rFonts w:ascii="Times New Roman" w:hAnsi="Times New Roman"/>
          <w:b/>
          <w:sz w:val="20"/>
        </w:rPr>
        <w:t xml:space="preserve">DESCRIPTION OF SECURITIES </w:t>
      </w:r>
    </w:p>
    <w:p>
      <w:pPr>
        <w:pStyle w:val="TextBody"/>
        <w:bidi w:val="0"/>
        <w:spacing w:before="240" w:after="0"/>
        <w:jc w:val="left"/>
        <w:rPr>
          <w:rFonts w:ascii="Times New Roman" w:hAnsi="Times New Roman"/>
          <w:b/>
          <w:sz w:val="20"/>
        </w:rPr>
      </w:pPr>
      <w:r>
        <w:rPr>
          <w:rFonts w:ascii="Times New Roman" w:hAnsi="Times New Roman"/>
          <w:b/>
          <w:sz w:val="20"/>
        </w:rPr>
        <w:t>General</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description of certain terms and provisions of the ordinary shares of the Company following the Redomestication. The following summary does not purport to be complete, and is subject to, and qualified in its entirety by, the Company’s memorandum and articles of association (the “Articles”), the Company’s Certificate of Designation of Preferences, Rights and Limitations of Series A Non-Voting Convertible Preferred Shares (the “Series A Certificate of Designation”), the Company’s Certificate of Designation of Preferences, Rights and Limitations of Series B Non-Voting Convertible Preferred Shares (the “Series B Certificate of Designation”), the Company’s Certificate of Designation of Preferences, Rights and Limitations of Series C Non-Voting Convertible Preferred Shares (the “Series C Certificate of Designation”), and the Companies Act. Copies of the Articles, Series A Certificate of Designation, Series B Certificate of Designation, and Series C Certificate of Designation have been filed and incorporated by reference as exhibits herein. </w:t>
      </w:r>
    </w:p>
    <w:p>
      <w:pPr>
        <w:pStyle w:val="TextBody"/>
        <w:bidi w:val="0"/>
        <w:spacing w:before="240" w:after="0"/>
        <w:jc w:val="left"/>
        <w:rPr>
          <w:rFonts w:ascii="Times New Roman" w:hAnsi="Times New Roman"/>
          <w:sz w:val="20"/>
        </w:rPr>
      </w:pPr>
      <w:r>
        <w:rPr>
          <w:rFonts w:ascii="Times New Roman" w:hAnsi="Times New Roman"/>
          <w:sz w:val="20"/>
        </w:rPr>
        <w:t>The authorized share capital of the Company under the Articles is US$5,100 divided into 500,000,000 ordinary shares having a par value of US$0.00001 per share; and 10,000,000 preferred shares having a par value of US$0.00001 per share. Subject to the rights and restrictions of holders of any series of Series A Preferred Shares, Series B Preferred Shares, or Series C Preferred Shares specified by the Articles, the Series A Certificate of Designation, Series B Certificate of Designation, or the Series C Certificate of Designation, the Company may increase its authorized share capital through an ordinary resolution. See “</w:t>
      </w:r>
      <w:r>
        <w:rPr>
          <w:rFonts w:ascii="Times New Roman" w:hAnsi="Times New Roman"/>
          <w:i/>
          <w:sz w:val="20"/>
        </w:rPr>
        <w:t>Preferred Shares</w:t>
      </w:r>
      <w:r>
        <w:rPr>
          <w:rFonts w:ascii="Times New Roman" w:hAnsi="Times New Roman"/>
          <w:sz w:val="20"/>
        </w:rPr>
        <w:t xml:space="preserve">” below for further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Ordinary Shares </w:t>
      </w:r>
    </w:p>
    <w:p>
      <w:pPr>
        <w:pStyle w:val="TextBody"/>
        <w:bidi w:val="0"/>
        <w:spacing w:before="120" w:after="0"/>
        <w:jc w:val="left"/>
        <w:rPr>
          <w:rFonts w:ascii="Times New Roman" w:hAnsi="Times New Roman"/>
          <w:b/>
          <w:i/>
          <w:sz w:val="20"/>
        </w:rPr>
      </w:pPr>
      <w:r>
        <w:rPr>
          <w:rFonts w:ascii="Times New Roman" w:hAnsi="Times New Roman"/>
          <w:b/>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Each holder of ordinary shares carries the right to receive notice of, to attend and to vote one vote per ordinary share at any Company general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Structure of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board of directors of the Company (the “Board of Directors”) is divided into three classes: Class I, Class II and Class III. The Board of Directors is authorized to assign members of the board already in office to such classes in accordance with a resolution or resolutions adopted by the Board of Directors. At each annual general meeting of shareholders, directors shall be elected for a full term of three years to succeed the directors of the particular class whose terms expire at such annual general meeting. Notwithstanding the foregoing provisions of this section, each director shall serve until his or her successor is duly elected and qualified or until his or her earlier resignation, death or removal. The Class I directors shall stand appointed for a term expiring at the Company’s 2027 annual meeting of shareholders, the Class II directors shall stand appointed for a term expiring at the Company’s 2028 annual meeting of shareholders and the Class III directors shall stand appointed for a term expiring at the Company’s 2029 annual meeting of shareholders.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Preemptive Rights </w:t>
      </w:r>
    </w:p>
    <w:p>
      <w:pPr>
        <w:pStyle w:val="TextBody"/>
        <w:bidi w:val="0"/>
        <w:spacing w:before="120" w:after="0"/>
        <w:jc w:val="left"/>
        <w:rPr>
          <w:rFonts w:ascii="Times New Roman" w:hAnsi="Times New Roman"/>
          <w:sz w:val="20"/>
        </w:rPr>
      </w:pPr>
      <w:r>
        <w:rPr>
          <w:rFonts w:ascii="Times New Roman" w:hAnsi="Times New Roman"/>
          <w:sz w:val="20"/>
        </w:rPr>
        <w:t xml:space="preserve">Company shareholders do not have preemptive rights. Thus, if additional ordinary shares are issued, the current holders of ordinary shares will own a proportionately smaller interest in a larger number of outstanding ordinary shares to the extent that they do not participate in the additional issuance.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Distributions to Shareholders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Companies Act, the Articles and any certificate of designation, and except as otherwise provided by the rights attached to any shares, the directors may resolve to declare dividends (including interim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dividends) and other distributions on shares in issue and authorize payment of the dividends or other distributions out of the funds of the Company lawfully available therefor. All dividends shall be declared and paid according to the amounts paid up on the ordinary shares, but if and for so long as nothing is paid up on any of the ordinary shares, dividends may be declared and paid according to the par value of the ordinary shares. Dividends may be paid in cash, in property, or in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Matters </w:t>
      </w:r>
    </w:p>
    <w:p>
      <w:pPr>
        <w:pStyle w:val="TextBody"/>
        <w:bidi w:val="0"/>
        <w:spacing w:before="120" w:after="0"/>
        <w:jc w:val="left"/>
        <w:rPr>
          <w:rFonts w:ascii="Times New Roman" w:hAnsi="Times New Roman"/>
          <w:sz w:val="20"/>
        </w:rPr>
      </w:pPr>
      <w:r>
        <w:rPr>
          <w:rFonts w:ascii="Times New Roman" w:hAnsi="Times New Roman"/>
          <w:sz w:val="20"/>
        </w:rPr>
        <w:t xml:space="preserve">All outstanding ordinary shares are fully paid and nonassessable. The ordinary shares are not subject to redemption or sinking fund provisions.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Shares </w:t>
      </w:r>
    </w:p>
    <w:p>
      <w:pPr>
        <w:pStyle w:val="TextBody"/>
        <w:bidi w:val="0"/>
        <w:spacing w:before="120" w:after="0"/>
        <w:jc w:val="left"/>
        <w:rPr>
          <w:rFonts w:ascii="Times New Roman" w:hAnsi="Times New Roman"/>
          <w:sz w:val="20"/>
        </w:rPr>
      </w:pPr>
      <w:r>
        <w:rPr>
          <w:rFonts w:ascii="Times New Roman" w:hAnsi="Times New Roman"/>
          <w:sz w:val="20"/>
        </w:rPr>
        <w:t xml:space="preserve">The Articles provide that, whenever the capital of the Company is divided into different classes (and as otherwise determined by the Board of Directors) the rights attached to any such class may, subject to any rights or restrictions for the time being attached to any class, only be materially adversely varied or abrogated with the consent in writing of the holders of simple majority of the issued ordinary or preferred shares of the relevant class, or with the sanction of a resolution passed at a separate meeting of the holders of the ordinary or preferred shares of such class by a simple majority of the votes cast at such a meeting. The directors may vary the rights attaching to any class without the consent or approval of shareholders; provided that the rights will not, in the determination of the directors, be materially adversely varied or abrogated by such action. </w:t>
      </w:r>
    </w:p>
    <w:p>
      <w:pPr>
        <w:pStyle w:val="TextBody"/>
        <w:bidi w:val="0"/>
        <w:spacing w:before="240" w:after="0"/>
        <w:jc w:val="left"/>
        <w:rPr>
          <w:rFonts w:ascii="Times New Roman" w:hAnsi="Times New Roman"/>
          <w:sz w:val="20"/>
        </w:rPr>
      </w:pPr>
      <w:r>
        <w:rPr>
          <w:rFonts w:ascii="Times New Roman" w:hAnsi="Times New Roman"/>
          <w:sz w:val="20"/>
        </w:rPr>
        <w:t xml:space="preserve">The Articles also provide that the rights conferred upon the holders of the ordinary or preferred shares of any class shall not, unless otherwise expressly provided by the terms of issue of the relevant class, be deemed to be materially adversely varied or abrogated by the creation, allotment or issue of ordinary or preferred shares ranking pari passu with them, subsequent to them, with preferred rights (including enhanced voting rights) or the redemption or purchase of any of the relevant class by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Series A Preferred Shares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no Series A Preferred Shares were issued and outstanding. The terms of the Series A Preferred Shares are as set forth in the Series A Certificate of Designation. Except as otherwise provided for in the Articles, the Cayman Series A Preferred Shares will not have voting rights, provided that we may not, without the affirmative vote or written consent of the holders of majority of then outstanding Cayman Series A Preferred Shares, among other things, alter or change adversely the power, preferences or rights given to the Cayman Series A Preferred Shares, amend the Cayman Series A Certificate of Designation, or issue additional shares of Cayman Series A Preferred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Series B Preferred Shares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16,366 Series B Preferred Shares were issued and outstanding. The terms of the Series B Preferred Shares are as set forth in the Series B Certificate of Designation. Holders of Series B Preferred Shares are entitled to receive dividends on Series B Preferred Shares equal to, on an as-if-converted-to-ordinary-shares basis, and in the same form as dividends actually paid on ordinary shares. Except as otherwise provided for in the Articles, the Cayman Series B Certificate of Designation or at law, a holder of Cayman Series B Preferred Shares will not have voting rights. As long as any Cayman Series B Preferred Shares are issued and outstanding, the Company will not, without the affirmative vote of the holders of a simple majority of the then issued and outstanding Cayman Series B Preferred Shares: (i) alter or change adversely the powers, preferences or rights given to the Cayman Series B Preferred Shares or alter or amend the Cayman Series B Certificate of Designation, amend the Articles, or file any articles of amendment, certificate of designations, preferences, limitations and relative rights of any series of Company preferred shares, in each case if such action would adversely alter or change the preferences, rights, privileges or powers of, or restrictions provided for the benefit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the Cayman Series B Preferred Shares, regardless of whether any of the foregoing actions will be by means of amendment to the Articles or by merger, consolidation, recapitalization, reclassification, conversion or otherwise, (ii) issue further Cayman Series B Preferred Shares beyond those contemplated for issuance in the Acquisition Agreement or increase or decrease (other than by conversion) the number of authorized Cayman Series B Preferred Shares, (iii) at any time while at least 30% of the originally issued Cayman Series B Preferred Shares remains issued and outstanding, (A) consummate (I) any Fundamental Transaction (as defined in the Cayman Series B Certificate of Designation) or (II) any merger or consolidation of the Company or other business combination in which the shareholders of the Company immediately before such transaction do not hold at least a simple majority on an as-converted-to-ordinary shares basis of the share capital of the Company immediately after such transaction, (B) increase the size of the Board of Directors, (C) adopt, amend or repeal any written delegation of authority policy, corporate authority matrix or similar document, framework or schedule unless such adoption, amendment or repeal has been approved by the unanimous vote of the Board of Directors or (D) retain or replace the Company’s registered independent accounting firm, independent compensation consultant or corporate counsel, or (iv) enter into any agreement with respect to any of the foregoing that does not explicitly require the approval contemplated to consummate such transaction.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Series C Preferred Shares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1,722 Series C Preferred Shares were issued and outstanding. The terms of the Series C Preferred Shares are as set forth in the Series C Certificate of Designation. Holders of Series C Preferred Shares are entitled to receive dividends on Series C Preferred Shares equal to, on an as-if-converted-to-ordinary-shares basis, and in the same form as dividends actually paid on ordinary shares. Except as otherwise provided for in the Articles, the Cayman Series C Certificate of Designation or at law, a holder of Cayman Series C Preferred Shares will not have voting rights. As long as any Cayman Series C Preferred Shares are issued and outstanding, the Company will not, without the affirmative vote of the holders of a simple majority of the then issued and outstanding Cayman Series C Preferred Shares: (i) alter or change adversely the powers, preferences or rights given to the Cayman Series C Preferred Shares or alter or amend the Cayman Series C Certificate of Designation, amend the Articles, or file any articles of amendment, certificate of designations, preferences, limitations and relative rights of any series of Company preferred shares, in each case if such action would adversely alter or change the preferences, rights, privileges or powers of, or restrictions provided for the benefit of the Cayman Series C Preferred Shares, regardless of whether any of the foregoing actions will be by means of amendment to the Articles or by merger, consolidation, recapitalization, reclassification, conversion or otherwise, (ii) issue further Cayman Series C Preferred Shares beyond those contemplated for issuance in the Acquisition Agreement or increase or decrease (other than by conversion) the number of authorized Cayman Series C Preferred Shares or (iii) enter into any agreement with respect to any of the foregoing that does not explicitly require the approval contemplated to consummate such transaction.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Provisions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of Cayman Islands law and the Articles, which are summarized below, may have the effect of delaying, deferring, or discouraging another person from acquiring control of the Company. They are also designed, in part, to encourage persons seeking to acquire control of the Company to negotiate first with the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Removal of Directors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rights and restrictions of holders of any series of preferred shares to remove directors specified by the Articles or any certificate of designation, any individual director or the Board of Directors may only be removed with cause by a special resolution.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Vacancies on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rights of the holders of any series of preferred shares, including pursuant to any certificate of designation, any and all vacancies on the Board of Directors, however occurring, including, without limitation,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by reason of an increase in the size of the Board of Directors, or resulting from death, resignation, disqualification, or removal, shall be filled solely and exclusively by the affirmative vote of a majority of the remaining directors then in office, even if less than a quorum of the Board of Directors, and not by the shareholders. Any director elected in accordance with the preceding sentence shall hold office for the remainder of the full term of the director for which the vacancy was created or occurred and until such director’s successor shall have been elected and qualified. </w:t>
      </w:r>
    </w:p>
    <w:p>
      <w:pPr>
        <w:pStyle w:val="TextBody"/>
        <w:bidi w:val="0"/>
        <w:spacing w:before="360" w:after="0"/>
        <w:jc w:val="left"/>
        <w:rPr>
          <w:rFonts w:ascii="Times New Roman" w:hAnsi="Times New Roman"/>
          <w:b/>
          <w:i/>
          <w:sz w:val="20"/>
        </w:rPr>
      </w:pPr>
      <w:r>
        <w:rPr>
          <w:rFonts w:ascii="Times New Roman" w:hAnsi="Times New Roman"/>
          <w:b/>
          <w:i/>
          <w:sz w:val="20"/>
        </w:rPr>
        <w:t xml:space="preserve">Shareholder Action by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A resolution in writing signed by all the shareholders entitled to receive notice of and to attend and vote at general meetings of the Company (or being corporations by their duly authorized representatives) shall be as valid and effective as if the same had been passed at a general meeting of the Company duly convened and held. </w:t>
      </w:r>
    </w:p>
    <w:p>
      <w:pPr>
        <w:pStyle w:val="TextBody"/>
        <w:bidi w:val="0"/>
        <w:spacing w:before="360" w:after="0"/>
        <w:jc w:val="left"/>
        <w:rPr>
          <w:rFonts w:ascii="Times New Roman" w:hAnsi="Times New Roman"/>
          <w:b/>
          <w:i/>
          <w:sz w:val="20"/>
        </w:rPr>
      </w:pPr>
      <w:r>
        <w:rPr>
          <w:rFonts w:ascii="Times New Roman" w:hAnsi="Times New Roman"/>
          <w:b/>
          <w:i/>
          <w:sz w:val="20"/>
        </w:rPr>
        <w:t xml:space="preserve">Special Meetings of Shareholders </w:t>
      </w:r>
    </w:p>
    <w:p>
      <w:pPr>
        <w:pStyle w:val="TextBody"/>
        <w:bidi w:val="0"/>
        <w:spacing w:before="120" w:after="0"/>
        <w:jc w:val="left"/>
        <w:rPr>
          <w:rFonts w:ascii="Times New Roman" w:hAnsi="Times New Roman"/>
          <w:sz w:val="20"/>
        </w:rPr>
      </w:pPr>
      <w:r>
        <w:rPr>
          <w:rFonts w:ascii="Times New Roman" w:hAnsi="Times New Roman"/>
          <w:sz w:val="20"/>
        </w:rPr>
        <w:t xml:space="preserve">Under Cayman Islands law, there is no statutory right for shareholders to call a general meeting where the articles of association provide for the calling of meetings. Where the articles of association provide for calling of meetings, the ability to convene such a meeting will be governed by the company’s articles of association. </w:t>
      </w:r>
    </w:p>
    <w:p>
      <w:pPr>
        <w:pStyle w:val="TextBody"/>
        <w:bidi w:val="0"/>
        <w:spacing w:before="240" w:after="0"/>
        <w:jc w:val="left"/>
        <w:rPr>
          <w:rFonts w:ascii="Times New Roman" w:hAnsi="Times New Roman"/>
          <w:sz w:val="20"/>
        </w:rPr>
      </w:pPr>
      <w:r>
        <w:rPr>
          <w:rFonts w:ascii="Times New Roman" w:hAnsi="Times New Roman"/>
          <w:sz w:val="20"/>
        </w:rPr>
        <w:t xml:space="preserve">General meetings of the Company shareholders may be called, for any purpose as is a proper matter for shareholder action under Cayman Islands law, by the Board of Directors pursuant to a resolution adopted by a simple majority of the voting power of the directors present at a meeting of directors or by unanimous written consent of all directors.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rights of the holders of any series of preferred shares, general meetings of the Company shareholders may be called only by the Board of Directors, and shall be held at such place, date, and time as they shall determine, and not by any other person or persons. Other than those stated in the Articles, only those matters set forth in the notice of the general meeting may be considered or acted upon at a general meeting of shareholders of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Shareholder Vote for Mergers and Other Corporate Reorganizations </w:t>
      </w:r>
    </w:p>
    <w:p>
      <w:pPr>
        <w:pStyle w:val="TextBody"/>
        <w:bidi w:val="0"/>
        <w:spacing w:before="120" w:after="0"/>
        <w:jc w:val="left"/>
        <w:rPr>
          <w:rFonts w:ascii="Times New Roman" w:hAnsi="Times New Roman"/>
          <w:sz w:val="20"/>
        </w:rPr>
      </w:pPr>
      <w:r>
        <w:rPr>
          <w:rFonts w:ascii="Times New Roman" w:hAnsi="Times New Roman"/>
          <w:sz w:val="20"/>
        </w:rPr>
        <w:t xml:space="preserve">Under Cayman Islands law, a company may merge with another company (wherever incorporated, provided that such merger is not prohibited by the laws of the jurisdiction of incorporation of that company) pursuant to the Companies Act. A merger under Cayman Islands law requires approval by a special resolution of shareholders, which in the context of a general meeting of the Company requires not less than a two-thirds majority of the votes cast by such shareholders attending and voting in person or, where proxies are allowed, by proxy at a quorate general meeting of the Company or the written resolution of all shareholders entitled to vote at such general meeting. </w:t>
      </w:r>
    </w:p>
    <w:p>
      <w:pPr>
        <w:pStyle w:val="TextBody"/>
        <w:bidi w:val="0"/>
        <w:spacing w:before="240" w:after="0"/>
        <w:jc w:val="left"/>
        <w:rPr>
          <w:rFonts w:ascii="Times New Roman" w:hAnsi="Times New Roman"/>
          <w:sz w:val="20"/>
        </w:rPr>
      </w:pPr>
      <w:r>
        <w:rPr>
          <w:rFonts w:ascii="Times New Roman" w:hAnsi="Times New Roman"/>
          <w:sz w:val="20"/>
        </w:rPr>
        <w:t xml:space="preserve">No shareholder resolution is required for a merger between a parent company (i.e., a company that holds issued shares that together represent 90% of the votes at a general meeting of the subsidiary company) and its subsidiary company, provided the parent company is the surviving entity and a copy of the plan of merger (including the memorandum and articles of association of the company) is given to every member of each subsidiary company to be merged unless that member agrees otherwise.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a Cayman Islands exempted company may be acquired through a tender offer by a third party. Where the holders of 90% or more in value of a class of the Company’s shares (excluding any shares already beneficially owned by the offeror) have within four months of the making of an offer accepted an offer for their shares in the Company, the remaining shareholders in that class may be statutorily required to also transfer their shares by notice given at any time within two months of the expiry of the four month period, unless, within one month, the non-tendering shareholders can obtain a Cayman Islands court order otherwise providing.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the offeror has acquired acceptances of 90% of all the Company’s shares for which the offer is made but does not exercise its “squeeze out” right, then the non-accepting shareholders have no statutory right to require the offeror to acquire their shares on the same terms as the original offer. </w:t>
      </w:r>
    </w:p>
    <w:p>
      <w:pPr>
        <w:pStyle w:val="TextBody"/>
        <w:bidi w:val="0"/>
        <w:spacing w:before="240" w:after="0"/>
        <w:jc w:val="left"/>
        <w:rPr>
          <w:rFonts w:ascii="Times New Roman" w:hAnsi="Times New Roman"/>
          <w:sz w:val="20"/>
        </w:rPr>
      </w:pPr>
      <w:r>
        <w:rPr>
          <w:rFonts w:ascii="Times New Roman" w:hAnsi="Times New Roman"/>
          <w:sz w:val="20"/>
        </w:rPr>
        <w:t xml:space="preserve">A Cayman Islands exempted company may also be acquired by way of a Cayman Islands court-approved scheme of arrangement under the Companies Act. A scheme of arrangement is a compromise or arrangement which may be entered into between a company and one or more classes of shareholders. In order to become binding and effective in accordance with its terms, the scheme of arrangement requires the approval of shareholders representing 75% or more by value of the shares of each class comprised in the scheme, in each case at the relevant meeting or meetings, and an order of the Grand Court of the Cayman Islands sanctioning the scheme of arrangement. A scheme of arrangement, if approved by the requisite statutory majorities and sanctioned by the Grand Court of the Cayman Islands, is binding on all of the shareholders of each class, including any dissenting shareholders. There is currently no cross class cramdown available under Cayman Islands law. Shares held by the acquiring party are likely to be considered to belong to a separate class for the purposes of approving the scheme. </w:t>
      </w:r>
    </w:p>
    <w:p>
      <w:pPr>
        <w:pStyle w:val="TextBody"/>
        <w:bidi w:val="0"/>
        <w:spacing w:before="360" w:after="0"/>
        <w:jc w:val="left"/>
        <w:rPr>
          <w:rFonts w:ascii="Times New Roman" w:hAnsi="Times New Roman"/>
          <w:b/>
          <w:i/>
          <w:sz w:val="20"/>
        </w:rPr>
      </w:pPr>
      <w:r>
        <w:rPr>
          <w:rFonts w:ascii="Times New Roman" w:hAnsi="Times New Roman"/>
          <w:b/>
          <w:i/>
          <w:sz w:val="20"/>
        </w:rPr>
        <w:t xml:space="preserve">Advance Notice Requirements for Shareholder Proposals and Director Nominations </w:t>
      </w:r>
    </w:p>
    <w:p>
      <w:pPr>
        <w:pStyle w:val="TextBody"/>
        <w:bidi w:val="0"/>
        <w:spacing w:before="120" w:after="0"/>
        <w:jc w:val="left"/>
        <w:rPr>
          <w:rFonts w:ascii="Times New Roman" w:hAnsi="Times New Roman"/>
          <w:sz w:val="20"/>
        </w:rPr>
      </w:pPr>
      <w:r>
        <w:rPr>
          <w:rFonts w:ascii="Times New Roman" w:hAnsi="Times New Roman"/>
          <w:sz w:val="20"/>
        </w:rPr>
        <w:t xml:space="preserve">Nominations of persons for election to the Board of Directors and the proposal of business to be considered by the shareholders may be made at an annual general meeting of shareholders: (i) brought specifically by or at the direction of the Board of Directors; or (ii) by any shareholder of the Company who was a shareholder of record at the time of giving the shareholders’ notice provided for in the Articles, who is entitled to vote at the meeting and who complied with the notice procedures set forth in Articles. Such notice must be received by the Company not later than the close of business on the ninetieth day and no earlier than the close of business on the one hundred twentieth day prior to the first anniversary of the preceding year’s annual meeting, or in the event the annual general meeting is first convened more than thirty days before or more than sixty days after such anniversary date or if no annual meeting was held in the preceding year, not later than the close of business on the later of the ninetieth day prior to such meeting or the tenth day following the day on which public announcement is first made of the date of such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Cumulative Voting </w:t>
      </w:r>
    </w:p>
    <w:p>
      <w:pPr>
        <w:pStyle w:val="TextBody"/>
        <w:bidi w:val="0"/>
        <w:spacing w:before="120" w:after="0"/>
        <w:jc w:val="left"/>
        <w:rPr>
          <w:rFonts w:ascii="Times New Roman" w:hAnsi="Times New Roman"/>
          <w:sz w:val="20"/>
        </w:rPr>
      </w:pPr>
      <w:r>
        <w:rPr>
          <w:rFonts w:ascii="Times New Roman" w:hAnsi="Times New Roman"/>
          <w:sz w:val="20"/>
        </w:rPr>
        <w:t xml:space="preserve">The Companies Act does not provide for cumulative voting as a mechanism for electing directors and if a Cayman Islands exempted company wants to allow cumulative voting, it must explicitly set out in its articles of association. The Articles do not provide for cumulative voting.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of Articles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Companies Act, the Articles and the rights attaching to the various classes, including pursuant to any certificate of designation, the Company may at any time and from time to time by special resolution alter or amend the articles of association forming a part of the Articles in whole or in part. </w:t>
      </w:r>
    </w:p>
    <w:p>
      <w:pPr>
        <w:pStyle w:val="TextBody"/>
        <w:bidi w:val="0"/>
        <w:spacing w:before="360" w:after="0"/>
        <w:jc w:val="left"/>
        <w:rPr>
          <w:rFonts w:ascii="Times New Roman" w:hAnsi="Times New Roman"/>
          <w:b/>
          <w:sz w:val="20"/>
        </w:rPr>
      </w:pPr>
      <w:r>
        <w:rPr>
          <w:rFonts w:ascii="Times New Roman" w:hAnsi="Times New Roman"/>
          <w:b/>
          <w:sz w:val="20"/>
        </w:rPr>
        <w:t xml:space="preserve">Other Shareholder Rights </w:t>
      </w:r>
    </w:p>
    <w:p>
      <w:pPr>
        <w:pStyle w:val="TextBody"/>
        <w:bidi w:val="0"/>
        <w:spacing w:before="120" w:after="0"/>
        <w:jc w:val="left"/>
        <w:rPr>
          <w:rFonts w:ascii="Times New Roman" w:hAnsi="Times New Roman"/>
          <w:sz w:val="20"/>
        </w:rPr>
      </w:pPr>
      <w:r>
        <w:rPr>
          <w:rFonts w:ascii="Times New Roman" w:hAnsi="Times New Roman"/>
          <w:sz w:val="20"/>
        </w:rPr>
        <w:t xml:space="preserve">Certain other provisions of Cayman Islands law and the Articles summarized below also have important effects on the rights of shareholders of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Shareholder Inspection Rights </w:t>
      </w:r>
    </w:p>
    <w:p>
      <w:pPr>
        <w:pStyle w:val="TextBody"/>
        <w:bidi w:val="0"/>
        <w:spacing w:before="120" w:after="0"/>
        <w:jc w:val="left"/>
        <w:rPr>
          <w:rFonts w:ascii="Times New Roman" w:hAnsi="Times New Roman"/>
          <w:sz w:val="20"/>
        </w:rPr>
      </w:pPr>
      <w:r>
        <w:rPr>
          <w:rFonts w:ascii="Times New Roman" w:hAnsi="Times New Roman"/>
          <w:sz w:val="20"/>
        </w:rPr>
        <w:t xml:space="preserve">Under Cayman Islands law, shareholders generally do not have any rights to inspect or obtain copies of the register of shareholders or other corporate records of a company, though directors may from time to time determine whether and to what extent and at what times and places and under what conditions or regulations the accounts and books of a Cayman Islands exempted company or any of them will be open to the inspection of shareholders not being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Appraisal or Dissenter’s Rights </w:t>
      </w:r>
    </w:p>
    <w:p>
      <w:pPr>
        <w:pStyle w:val="TextBody"/>
        <w:bidi w:val="0"/>
        <w:spacing w:before="120" w:after="0"/>
        <w:jc w:val="left"/>
        <w:rPr>
          <w:rFonts w:ascii="Times New Roman" w:hAnsi="Times New Roman"/>
          <w:sz w:val="20"/>
        </w:rPr>
      </w:pPr>
      <w:r>
        <w:rPr>
          <w:rFonts w:ascii="Times New Roman" w:hAnsi="Times New Roman"/>
          <w:sz w:val="20"/>
        </w:rPr>
        <w:t xml:space="preserve">Generally, under Cayman Islands law, shareholders of a Cayman Islands exempted company do not have statutory appraisal rights; provided that in the event of a statutory merger under the Companies Act a shareholder shall be entitled to receive the fair value of their shares upon dissenting from such merger. Rights of a dissenting shareholder are not available in certain circumstances, for example, to dissenters holding shares of any class in respect of which an open market exists on a recognized stock exchange or recognized interdealer quotation system at the relevant date and where the consideration for such shares to be contributed are shares of any company listed on a national securities exchange or shares of the surviving or consolidated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Exclusive Forum </w:t>
      </w:r>
    </w:p>
    <w:p>
      <w:pPr>
        <w:pStyle w:val="TextBody"/>
        <w:bidi w:val="0"/>
        <w:spacing w:before="120" w:after="0"/>
        <w:jc w:val="left"/>
        <w:rPr>
          <w:rFonts w:ascii="Times New Roman" w:hAnsi="Times New Roman"/>
          <w:sz w:val="20"/>
        </w:rPr>
      </w:pPr>
      <w:r>
        <w:rPr>
          <w:rFonts w:ascii="Times New Roman" w:hAnsi="Times New Roman"/>
          <w:sz w:val="20"/>
        </w:rPr>
        <w:t xml:space="preserve">The Articles provide that, unless the Company consents in writing to the selection of an alternative forum, the courts of the Cayman Islands shall have exclusive jurisdiction over any claim or dispute arising out of or in connection with the Articles or otherwise related in any way to each member’s shareholding in the Company, including but not limited to: (a) any derivative action or proceeding brought on behalf of the Company; (b) any action asserting a claim of breach of any fiduciary or other duty owed by any current or former director, officer or other employee of the Company to the Company or the members; (c) any action asserting a claim arising pursuant to any provision of the Companies Act or the Articles; or (d) any action asserting a claim against the Company concerning its internal affairs. </w:t>
      </w:r>
    </w:p>
    <w:p>
      <w:pPr>
        <w:pStyle w:val="TextBody"/>
        <w:bidi w:val="0"/>
        <w:spacing w:before="240" w:after="0"/>
        <w:jc w:val="left"/>
        <w:rPr>
          <w:rFonts w:ascii="Times New Roman" w:hAnsi="Times New Roman"/>
          <w:sz w:val="20"/>
        </w:rPr>
      </w:pPr>
      <w:r>
        <w:rPr>
          <w:rFonts w:ascii="Times New Roman" w:hAnsi="Times New Roman"/>
          <w:sz w:val="20"/>
        </w:rPr>
        <w:t xml:space="preserve">The exclusive forum provision described above does not apply to any action or suits brought to enforce any liability or duty created by the Securities Act of 1933, as amended, or the Securities Exchange Act of 1934, as amended, or any claim for which the federal district courts of the United States of America are, as a matter of the laws of the United States, the sole and exclusive forum for determination of such a claim. </w:t>
      </w:r>
    </w:p>
    <w:p>
      <w:pPr>
        <w:pStyle w:val="TextBody"/>
        <w:bidi w:val="0"/>
        <w:spacing w:before="360" w:after="0"/>
        <w:jc w:val="left"/>
        <w:rPr>
          <w:rFonts w:ascii="Times New Roman" w:hAnsi="Times New Roman"/>
          <w:b/>
          <w:i/>
          <w:sz w:val="20"/>
        </w:rPr>
      </w:pPr>
      <w:r>
        <w:rPr>
          <w:rFonts w:ascii="Times New Roman" w:hAnsi="Times New Roman"/>
          <w:b/>
          <w:i/>
          <w:sz w:val="20"/>
        </w:rPr>
        <w:t xml:space="preserve">Business Opportunities </w:t>
      </w:r>
    </w:p>
    <w:p>
      <w:pPr>
        <w:pStyle w:val="TextBody"/>
        <w:bidi w:val="0"/>
        <w:spacing w:before="120" w:after="0"/>
        <w:jc w:val="left"/>
        <w:rPr>
          <w:rFonts w:ascii="Times New Roman" w:hAnsi="Times New Roman"/>
          <w:sz w:val="20"/>
        </w:rPr>
      </w:pPr>
      <w:r>
        <w:rPr>
          <w:rFonts w:ascii="Times New Roman" w:hAnsi="Times New Roman"/>
          <w:sz w:val="20"/>
        </w:rPr>
        <w:t xml:space="preserve">Cayman Islands law does not have a codified corporate opportunity doctrine and a director’s obligations in relation to business opportunities are governed by general fiduciary duties which include the duty to act in good faith and in the best interests of the company, the duty to avoid conflicts of interests and a duty to exercise independent judgement and avoid self-dealing. A Cayman Islands director may engage in business activities outside a Cayman Islands exempted company, provided that they have disclosed any personal interest in the opportunity. If the director properly declares their interest at a board meeting, Cayman Islands law generally permits the company to approve the transaction. A director may also vote on resolutions related to such a contract provided the interest has been disclosed. </w:t>
      </w:r>
    </w:p>
    <w:p>
      <w:pPr>
        <w:pStyle w:val="TextBody"/>
        <w:bidi w:val="0"/>
        <w:spacing w:before="360" w:after="0"/>
        <w:jc w:val="left"/>
        <w:rPr>
          <w:rFonts w:ascii="Times New Roman" w:hAnsi="Times New Roman"/>
          <w:b/>
          <w:i/>
          <w:sz w:val="20"/>
        </w:rPr>
      </w:pPr>
      <w:r>
        <w:rPr>
          <w:rFonts w:ascii="Times New Roman" w:hAnsi="Times New Roman"/>
          <w:b/>
          <w:i/>
          <w:sz w:val="20"/>
        </w:rPr>
        <w:t xml:space="preserve">Shareholders’ Derivative Actions </w:t>
      </w:r>
    </w:p>
    <w:p>
      <w:pPr>
        <w:pStyle w:val="TextBody"/>
        <w:bidi w:val="0"/>
        <w:spacing w:before="120" w:after="0"/>
        <w:jc w:val="left"/>
        <w:rPr>
          <w:rFonts w:ascii="Times New Roman" w:hAnsi="Times New Roman"/>
          <w:sz w:val="20"/>
        </w:rPr>
      </w:pPr>
      <w:r>
        <w:rPr>
          <w:rFonts w:ascii="Times New Roman" w:hAnsi="Times New Roman"/>
          <w:sz w:val="20"/>
        </w:rPr>
        <w:t xml:space="preserve">In most cases, under Cayman Islands law, the Company will be the proper plaintiff in any claim based on a breach of duty owed to it, and a claim against (for example) the Company’s directors or officers usually may not be brought by a shareholder. In principle, a shareholder does not have a direct right of action against directors of the Company. However, based on Cayman Islands authorities and English authorities (which will be of persuasive authority in the Cayman Islands), there are exceptions to the foregoing principle such that a shareholder may be entitled to bring a derivative action on behalf of the Company, but only in limited circumstances, including but not limited to: the Company acts or proposes to act illegally or ultra vires; the act complained of (although not ultra vires) could be affected if duly authorized by a special resolution that has not been obtained; and those who control the Company are perpetuating a “fraud on the minority”. A shareholder may have a direct right of action against the Company where the individual rights of that shareholder have been or will be infringed. Derivative actions have been brought in the Cayman Islands courts, and the Cayman Islands courts have confirmed the availability for such actions.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Cayman Islands law does not specifically restrict a Cayman Islands exempted company from exculpating its directors or officers from liability for negligence or a breach of duty, except to the extent any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provision may be held by the Cayman Islands courts to be contrary to public policy, such as to limit liability against willful default, willful neglect, actual fraud or the consequences of committing a crime.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 on Director and Officer Liability </w:t>
      </w:r>
    </w:p>
    <w:p>
      <w:pPr>
        <w:pStyle w:val="TextBody"/>
        <w:bidi w:val="0"/>
        <w:spacing w:before="120" w:after="0"/>
        <w:jc w:val="left"/>
        <w:rPr>
          <w:rFonts w:ascii="Times New Roman" w:hAnsi="Times New Roman"/>
          <w:sz w:val="20"/>
        </w:rPr>
      </w:pPr>
      <w:r>
        <w:rPr>
          <w:rFonts w:ascii="Times New Roman" w:hAnsi="Times New Roman"/>
          <w:sz w:val="20"/>
        </w:rPr>
        <w:t xml:space="preserve">The Companies Act does not restrict the authority of a Cayman exempted company to indemnify its directors, officers, employees or agents. </w:t>
      </w:r>
    </w:p>
    <w:p>
      <w:pPr>
        <w:pStyle w:val="TextBody"/>
        <w:bidi w:val="0"/>
        <w:spacing w:before="240" w:after="0"/>
        <w:jc w:val="left"/>
        <w:rPr>
          <w:rFonts w:ascii="Times New Roman" w:hAnsi="Times New Roman"/>
          <w:sz w:val="20"/>
        </w:rPr>
      </w:pPr>
      <w:r>
        <w:rPr>
          <w:rFonts w:ascii="Times New Roman" w:hAnsi="Times New Roman"/>
          <w:sz w:val="20"/>
        </w:rPr>
        <w:t xml:space="preserve">The Articles provide that no Indemnified Person (as defined below) shall be liable: (a) for the acts, receipts, neglects, defaults or omissions of any other director or officer or agent of the Company; or (b) for any loss on account of defect of title to any property of the Company; or (c) on account of the insufficiency of any security in or upon which any money of the Company shall be invested; or (d) for any loss incurred through any bank, broker or other similar person; or (e) for any loss occasioned by any negligence, default, breach of duty, breach of trust, error of judgement or oversight on such Indemnified Person’s part; or (f) for any loss, damage or misfortune whatsoever which may happen in or arise from the execution of discharge of the duties, powers, authorities, or discretions of such Indemnified Person’s office or in relation thereto; unless the same shall happen through such Indemnified Person’s own actual fraud, willful default or willful neglect as determined by a court of competent jurisdiction.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The Articles provide that, to the fullest extent permitted by law, every director (including any alternate director appointed pursuant to the provisions of the Articles), secretary, assistant secretary, or other officer (but not including the Company’s auditors) and the personal representatives of the same (each an “Indemnified Person”) shall be indemnified and secured harmless out of the assets and funds of the Company against all actions or proceedings whether threatened, pending or completed, costs, charges, expenses, losses, damages or liabilities incurred or sustained by such Indemnified Person, other than by reason of such Indemnified Person’s own actual fraud, willful default or willful neglect as determined by a court of competent jurisdiction, (i) in or about the conduct of the Company’s business or affairs (including as a result of any mistake of judgment), (ii) in the execution or discharge of his or her duties, powers, authorities or discretions, or (iii) in respect of any actions or activities undertaken by an Indemnified Person provided for and in accordance with the provisions set out above (inclusive) including without prejudice to the generality of the foregoing, any costs, expenses, losses or liabilities incurred by such Indemnified Person in defending or otherwise being involved in, (whether successfully or otherwise) any civil proceedings concerning the Company or its affairs in any court whether in the Cayman Islands or elsewhere. </w:t>
      </w:r>
    </w:p>
    <w:p>
      <w:pPr>
        <w:pStyle w:val="TextBody"/>
        <w:bidi w:val="0"/>
        <w:spacing w:before="240" w:after="0"/>
        <w:jc w:val="left"/>
        <w:rPr>
          <w:rFonts w:ascii="Times New Roman" w:hAnsi="Times New Roman"/>
          <w:sz w:val="20"/>
        </w:rPr>
      </w:pPr>
      <w:r>
        <w:rPr>
          <w:rFonts w:ascii="Times New Roman" w:hAnsi="Times New Roman"/>
          <w:sz w:val="20"/>
        </w:rPr>
        <w:t xml:space="preserve">Each shareholder waives any claim or right of action they might have, whether individually or by or in the right of the Company, against any director or officer on account of any action taken by such director or officer, or the failure of such director or officer to take any action in the performance of his or her duties with or for the Company; provided that such waiver shall not extend to any matter in respect of any actual fraud, willful default or willful neglect which may attach to such director or officer.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pay the expenses (including attorneys’ fees) incurred by an Indemnified Person in defending any proceeding in advance of its final disposition; provided, however, that, to the extent required by applicable law, such payment of expenses in advance of the final disposition of the proceeding shall be made only upon receipt of an undertaking by the Indemnified Person to repay all amounts advanced if it should be ultimately determined that the Indemnified Person is not entitled to be indemnified under the Articles or otherwise. </w:t>
      </w:r>
    </w:p>
    <w:p>
      <w:pPr>
        <w:pStyle w:val="TextBody"/>
        <w:bidi w:val="0"/>
        <w:spacing w:before="240" w:after="0"/>
        <w:jc w:val="left"/>
        <w:rPr>
          <w:rFonts w:ascii="Times New Roman" w:hAnsi="Times New Roman"/>
          <w:sz w:val="20"/>
        </w:rPr>
      </w:pPr>
      <w:r>
        <w:rPr>
          <w:rFonts w:ascii="Times New Roman" w:hAnsi="Times New Roman"/>
          <w:sz w:val="20"/>
        </w:rPr>
        <w:t xml:space="preserve">The rights to indemnification and advancement of expenses conferred on any Indemnified Person as set out above are not exclusive of any other rights that any Indemnified Person may have or hereafter acquire pursuant to an agreement with the Company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Enforcement of Civil Liabilities </w:t>
      </w:r>
    </w:p>
    <w:p>
      <w:pPr>
        <w:pStyle w:val="TextBody"/>
        <w:bidi w:val="0"/>
        <w:spacing w:before="120" w:after="0"/>
        <w:jc w:val="left"/>
        <w:rPr>
          <w:rFonts w:ascii="Times New Roman" w:hAnsi="Times New Roman"/>
          <w:sz w:val="20"/>
        </w:rPr>
      </w:pPr>
      <w:r>
        <w:rPr>
          <w:rFonts w:ascii="Times New Roman" w:hAnsi="Times New Roman"/>
          <w:sz w:val="20"/>
        </w:rPr>
        <w:t xml:space="preserve">The Cayman Islands has a different body of securities laws as compared to the United States and may provide less protection to investors. Additionally, Cayman Islands companies may not have standing to sue before the Federal courts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There is uncertainty as to whether the courts of the Cayman Islands will recognize and enforce against us, our directors and/or executive officers in the United States judgments obtained in the United States courts predicated upon the civil liability provisions of the securities laws of the United States. The courts of the Cayman Islands may be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(and the Cayman Islands are not a party to any treaties for the reciprocal enforcement or recognition of such judgments with the United States), the courts of the Cayman Islands may, by an action commenced on the judgment obtained in the United States in the courts of the Cayman Islands, recognize and enforce, without retrial of the merits at common law, a foreign money judgment of a foreign court of competent jurisdiction provided certain conditions are met. For a foreign judgment to be enforced in the Cayman Islands, the court must have had proper jurisdiction over the parties subject to such judgment as a matter of Cayman Islands conflict of law rules, and such judgment must be: final and conclusive and for a liquidated sum, and must not be in respect of multiple damages, taxes or a fine or penalty, or other charges of a like nature,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no new admissible evidence relevant to the action is submitted prior to the rendering of the judgment by the courts of the Cayman Islands; and there is due compliance with the correct procedures under the laws of the Cayman Islands. A Cayman Islands Court may stay enforcement proceedings if concurrent proceedings are being brought elsewhere.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Computershare Trust Company, N.A. serves as the transfer agent and registrar for the Company’s ordinary shares.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The Company’s ordinary shares are listed on the Nasdaq Capital Market under the symbol “DMRA.” </w:t>
      </w:r>
    </w:p>
    <w:p>
      <w:pPr>
        <w:pStyle w:val="TextBody"/>
        <w:bidi w:val="0"/>
        <w:spacing w:before="360" w:after="0"/>
        <w:jc w:val="left"/>
        <w:rPr>
          <w:rFonts w:ascii="Times New Roman" w:hAnsi="Times New Roman"/>
          <w:b/>
          <w:sz w:val="20"/>
        </w:rPr>
      </w:pPr>
      <w:r>
        <w:rPr>
          <w:rFonts w:ascii="Times New Roman" w:hAnsi="Times New Roman"/>
          <w:b/>
          <w:sz w:val="20"/>
        </w:rPr>
        <w:t>Debt Securities</w:t>
      </w:r>
    </w:p>
    <w:p>
      <w:pPr>
        <w:pStyle w:val="TextBody"/>
        <w:bidi w:val="0"/>
        <w:spacing w:before="120" w:after="0"/>
        <w:jc w:val="left"/>
        <w:rPr>
          <w:rFonts w:ascii="Times New Roman" w:hAnsi="Times New Roman"/>
          <w:sz w:val="20"/>
        </w:rPr>
      </w:pPr>
      <w:r>
        <w:rPr>
          <w:rFonts w:ascii="Times New Roman" w:hAnsi="Times New Roman"/>
          <w:sz w:val="20"/>
        </w:rPr>
        <w:t xml:space="preserve">The paragraphs below describe the general terms and provisions of the debt securities we may issue. When we offer to sell a particular series of debt securities, we will describe the specific terms of the securities in a supplement to this prospectus, including any additional covenants or changes to existing covenants relating to such series. The prospectus supplement also will indicate whether the general terms and provisions described in this prospectus apply to a particular series of debt securities. You should read the actual indenture if you do not fully understand a term or the way we use it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If we issue debt securities at a discount from their principal amount, then, for purposes of calculating the aggregate initial offering price of the offered securities issued under this prospectus, we will include only the initial offering price of the debt securities and not the principal amount of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have summarized below the material provisions of the indenture, or indicated which material provisions will be described in the related prospectus supplement. The prospectus supplement relating to any particular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securities offered will describe the specific terms of the securities, which may be in addition to or different from the general terms summarized in this prospectus. We have included the form of the indenture as an exhibit to our registration statement of which this prospectus is a part, and it is incorporated into this prospectus by reference. Because the summary in this prospectus and in any prospectus supplement does not contain all of the information that you may find useful, you should read the documents relating to the securities that are described in this prospectus or in any applicable prospectus supplement. Please read “</w:t>
      </w:r>
      <w:r>
        <w:rPr>
          <w:rFonts w:ascii="Times New Roman" w:hAnsi="Times New Roman"/>
          <w:i/>
          <w:sz w:val="20"/>
        </w:rPr>
        <w:t>Where You Can Find More Information</w:t>
      </w:r>
      <w:r>
        <w:rPr>
          <w:rFonts w:ascii="Times New Roman" w:hAnsi="Times New Roman"/>
          <w:sz w:val="20"/>
        </w:rPr>
        <w:t xml:space="preserve">” in this prospectus to find out how you can obtain a copy of those documents. References below to an “indenture” are references to the indenture, as supplemented, under which a particular series of debt securities is issued. As used under this caption, the term “debt securities” includes the debt securities being offered by this prospectus and all other debt securities issued by us under the indenture. </w:t>
      </w:r>
    </w:p>
    <w:p>
      <w:pPr>
        <w:pStyle w:val="TextBody"/>
        <w:bidi w:val="0"/>
        <w:spacing w:before="360" w:after="0"/>
        <w:jc w:val="left"/>
        <w:rPr>
          <w:rFonts w:ascii="Times New Roman" w:hAnsi="Times New Roman"/>
          <w:b/>
          <w:i/>
          <w:sz w:val="20"/>
        </w:rPr>
      </w:pPr>
      <w:r>
        <w:rPr>
          <w:rFonts w:ascii="Times New Roman" w:hAnsi="Times New Roman"/>
          <w:b/>
          <w:i/>
          <w:sz w:val="20"/>
        </w:rPr>
        <w:t>General</w:t>
      </w:r>
    </w:p>
    <w:p>
      <w:pPr>
        <w:pStyle w:val="TextBody"/>
        <w:bidi w:val="0"/>
        <w:spacing w:before="120" w:after="0"/>
        <w:jc w:val="left"/>
        <w:rPr>
          <w:rFonts w:ascii="Times New Roman" w:hAnsi="Times New Roman"/>
          <w:sz w:val="20"/>
        </w:rPr>
      </w:pPr>
      <w:r>
        <w:rPr>
          <w:rFonts w:ascii="Times New Roman" w:hAnsi="Times New Roman"/>
          <w:sz w:val="20"/>
        </w:rPr>
        <w:t xml:space="preserve">The indenture: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does not limit the amount of debt securities that we may issue;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allows us to issue debt securities in one or more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does not require us to issue all of the debt securities of a series at the same time;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allows us to reopen a series to issue additional debt securities without the consent of the holders of the debt securities of such series.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for each offering of debt securities will provide the following terms, where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debt securities and whether they are senior, senior subordinated or subordinated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principal amount of the debt securities being offered and any limit on their aggregate principal amount, and, if the series is to be issued at a discount from its face amount, the method of computing the accretion of such discount;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at which the debt securities will be issued, expressed as a percentage of the principal and, if other than the full principal amount thereof, the portion of the principal amount thereof payable upon declaration of acceleration of the maturity thereof or, if applicable, the portion of the principal amount of such debt securities that is convertible into ordinary shares or preferred shares or the method by which any such portion shall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convertible, the terms on which such debt securities are convertible, including the initial conversion price or rate or the method of calculation, how and when the conversion price or exchange ratio may be adjusted, whether conversion or exchange is mandatory, at the option of the holder or at our option, the conversion or exchange period, and any other provision in relation thereto, and any applicable limitations on the ownership or transferability of ordinary shares or preferred shares received on conversion;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or the method for determining the date or dates, on which the principal of the debt securities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fixed or variable interest rate or rates of the debt securities, or the method by which the interest rate or rates is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or the method for determining the date or dates, from which interest will accrue;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interest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record dates for interest payment dates, or the method by which we will determine those dates;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persons to whom interest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basis upon which interest will be calculated if other than that of a 360-day year of twelve 30-day months;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collateral securing the performance of our obligations under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the principal of, premium, if any, and interest on, the debt securities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 debt securities may be surrendered for registration of transfer or conversion or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notices or demands to or upon us in respect of the debt securities and the applicable indenture may be served;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regarding our right to redeem or purchase debt securities or the right of holders to require us to redeem or purchase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right or obligation we have to redeem, repay or purchase the debt securities pursuant to any sinking fund or analogous provision;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currencies (including any composite currency) in which the debt securities are denominated and payable if other than United States dollars, and the currency or currencies (including any composite currency) in which principal, premium, if any, and interest, if any, will be payable, and if such payments may be made in a currency other than that in which the debt securities are denominated, the manner for determining such payments, including the time and manner of determining the exchange rate between the currency in which such securities are denominated and the currency in which such securities or any of them may be paid, and any additions to, modifications of or deletions from the terms of the debt securities to provide for or to facilitate the issuance of debt securities denominated or payable in a currency other than U.S. dollars;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amount of payments of principal of, premium, if any, or interest on, the debt securities may be determined according to an index, formula or other method and how such amounts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in registered form, bearer form or both, and the terms of these forms;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issued in whole or in part in the form of a global security and, if applicable, the identity of the depositary for such global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 for electronic issuance of the debt securities or issuance of the debt securities in uncertificated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upon what terms the debt securities of such series may be defeased or discharged, if different from the provisions set forth in the indenture for the series to which the supplemental indenture or authorizing resolution relates;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granting special rights to holders of securities upon the occurrence of such events as specified in the applicable prospectus supplement;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deletions from, modifications of, or additions to our events of default or covenants or other provisions set forth in the indenture for the series to which the supplemental indenture or authorizing resolution relates;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material terms of the debt securities, which may be different from the terms set forth in this 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at a discount below their principal amount and provide for less than the entire principal amount thereof to be payable upon declaration of acceleration of the maturity of the debt securities. We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refer to any such debt securities throughout this prospectus as “original issue discount securities.” The applicable prospectus supplement will describe the United States federal income tax consequences and other relevant considerations applicable to original issue discount securities. </w:t>
      </w:r>
    </w:p>
    <w:p>
      <w:pPr>
        <w:pStyle w:val="TextBody"/>
        <w:bidi w:val="0"/>
        <w:spacing w:before="240" w:after="0"/>
        <w:jc w:val="left"/>
        <w:rPr>
          <w:rFonts w:ascii="Times New Roman" w:hAnsi="Times New Roman"/>
          <w:sz w:val="20"/>
        </w:rPr>
      </w:pPr>
      <w:r>
        <w:rPr>
          <w:rFonts w:ascii="Times New Roman" w:hAnsi="Times New Roman"/>
          <w:sz w:val="20"/>
        </w:rPr>
        <w:t xml:space="preserve">Neither the DGCL nor our governing instruments define the term “substantially all” as it relates to the sale of assets. Additionally, Delaware cases interpreting the term “substantially all” rely upon the facts and circumstances of each particular case. Consequently, to determine whether a sale of “substantially all” of our assets has occurred, a holder of debt securities must review the financial and other information that we have disclosed to the public.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will also describe any material covenants to which a series of debt securities will be subject and the applicability of those covenants to any of our subsidiaries to be restricted thereby, which are referred to herein as “restricted subsidiaries.” The applicable prospectus supplement will also describe provisions for restricted subsidiaries to cease to be restricted by those covenants. </w:t>
      </w:r>
    </w:p>
    <w:p>
      <w:pPr>
        <w:pStyle w:val="TextBody"/>
        <w:bidi w:val="0"/>
        <w:spacing w:before="360" w:after="0"/>
        <w:jc w:val="left"/>
        <w:rPr>
          <w:rFonts w:ascii="Times New Roman" w:hAnsi="Times New Roman"/>
          <w:b/>
          <w:i/>
          <w:sz w:val="20"/>
        </w:rPr>
      </w:pPr>
      <w:r>
        <w:rPr>
          <w:rFonts w:ascii="Times New Roman" w:hAnsi="Times New Roman"/>
          <w:b/>
          <w:i/>
          <w:sz w:val="20"/>
        </w:rPr>
        <w:t>Events of Default</w:t>
      </w:r>
    </w:p>
    <w:p>
      <w:pPr>
        <w:pStyle w:val="TextBody"/>
        <w:bidi w:val="0"/>
        <w:spacing w:before="120" w:after="0"/>
        <w:jc w:val="left"/>
        <w:rPr>
          <w:rFonts w:ascii="Times New Roman" w:hAnsi="Times New Roman"/>
          <w:sz w:val="20"/>
        </w:rPr>
      </w:pPr>
      <w:r>
        <w:rPr>
          <w:rFonts w:ascii="Times New Roman" w:hAnsi="Times New Roman"/>
          <w:sz w:val="20"/>
        </w:rPr>
        <w:t xml:space="preserve">Unless the applicable prospectus supplement states otherwise, when we refer to “events of default” as defined in the indentures with respect to any series of debt securities, we mean: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pay interest on any debt security of such series when the same becomes due and payable and the continuance of any such failure for a period of 30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pay the principal or premium of any debt security of such series when the same becomes due and payable at maturity, upon acceleration, redemption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failure or the failure of any restricted subsidiary to comply with any of its agreements or covenants in, or provisions of, the debt securities of such series or the indenture (as they relate thereto) and such failure continues for a period of 60 days after our receipt of notice of the default from the trustee or from the holders of at least 25 percent in aggregate principal amount of the then outstanding debt securities of that series (except in the case of a default with respect to the provisions of the indenture regarding the consolidation, merger, sale, lease, conveyance or other disposition of all or substantially all of the assets of us (or any other provision specified in the applicable supplemental indenture or authorizing resolution), which will constitute an event of default with notice but without passage of time);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occurrence of certain events of bankruptcy, insolvency or reorganization with respect to the Company or any restricted subsidiary of the Company that is a significant subsidiary (as defined in the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occurs and is continuing with respect to debt securities of any series outstanding, then the trustee or the holders of 25% or more in principal amount of the outstanding debt securities of that series will have the right to declare the principal amount of all the debt securities of that series to be due and payable immediately. However, the holders of at least a majority in principal amount of outstanding debt securities of such series may rescind and annul such declaration and its consequences, except an acceleration due to nonpayment of principal or interest on such series, if the rescission would not conflict with any judgment or decree and if all existing events of default with respect to such series have been cured or waived. </w:t>
      </w:r>
    </w:p>
    <w:p>
      <w:pPr>
        <w:pStyle w:val="TextBody"/>
        <w:bidi w:val="0"/>
        <w:spacing w:before="240" w:after="0"/>
        <w:jc w:val="left"/>
        <w:rPr>
          <w:rFonts w:ascii="Times New Roman" w:hAnsi="Times New Roman"/>
          <w:sz w:val="20"/>
        </w:rPr>
      </w:pPr>
      <w:r>
        <w:rPr>
          <w:rFonts w:ascii="Times New Roman" w:hAnsi="Times New Roman"/>
          <w:sz w:val="20"/>
        </w:rPr>
        <w:t xml:space="preserve">The indenture also provides that the holders of at least a majority in principal amount of the outstanding debt securities of any series, by notice to the trustee, may, on behalf of all holders, waive any existing default and its consequences with respect to such series of debt securities, other than any event of default in payment of principal or interest.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require the trustee to give notice to the holders of debt securities within 90 days after the trustee obtains knowledge of a default that has occurred and is continuing. However, the trustee may withhold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notice to the holders of any series of debt securities of any default, except a default in payment of principal or interest, if any, with respect to such series of debt securities, if the trustee considers it in the interest of the holders of such series of debt securities to do so.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of the outstanding principal amount of the debt securities of any series will have the right to direct the time, method and place of conducting any proceedings for any remedy available to the trustee with respect to such series, subject to limitations specified in the indenture. </w:t>
      </w:r>
    </w:p>
    <w:p>
      <w:pPr>
        <w:pStyle w:val="TextBody"/>
        <w:bidi w:val="0"/>
        <w:spacing w:before="360" w:after="0"/>
        <w:jc w:val="left"/>
        <w:rPr>
          <w:rFonts w:ascii="Times New Roman" w:hAnsi="Times New Roman"/>
          <w:b/>
          <w:i/>
          <w:sz w:val="20"/>
        </w:rPr>
      </w:pPr>
      <w:r>
        <w:rPr>
          <w:rFonts w:ascii="Times New Roman" w:hAnsi="Times New Roman"/>
          <w:b/>
          <w:i/>
          <w:sz w:val="20"/>
        </w:rPr>
        <w:t>Amendment, Supplement and Waiver</w:t>
      </w:r>
    </w:p>
    <w:p>
      <w:pPr>
        <w:pStyle w:val="TextBody"/>
        <w:bidi w:val="0"/>
        <w:spacing w:before="120" w:after="0"/>
        <w:jc w:val="left"/>
        <w:rPr>
          <w:rFonts w:ascii="Times New Roman" w:hAnsi="Times New Roman"/>
          <w:sz w:val="20"/>
        </w:rPr>
      </w:pPr>
      <w:r>
        <w:rPr>
          <w:rFonts w:ascii="Times New Roman" w:hAnsi="Times New Roman"/>
          <w:sz w:val="20"/>
        </w:rPr>
        <w:t xml:space="preserve">Without notice to or the consent of any holder, we and the trustee may amend or supplement the indenture or the debt securities of a series: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omission, defect or inconsistency;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the provisions of the indenture regarding the consolidation, merger, sale, lease, conveyance or other disposition of all or substantially all of our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that specific provisions of the indenture shall not apply to a series of debt securities not previously issued or to make a change to specific provisions of the indenture that only applies to any series of debt securities not previously issued or to additional debt securities of a series not previously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create a series and establish its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uncertificated debt securities in addition to or in place of certificated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release a guarantor in respect of any series which, in accordance with the terms of the indenture applicable to such series, ceases to be liable in respect of its guarantee;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a guarantor subsidiary in respect of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secure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the covenants of the Company for the benefit of the holders or surrender any right or power conferred upon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appoint a successor trustee with respect to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requirements of the SEC in order to effect or maintain the qualification of the indenture under the Trust Indenture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change that does not adversely affect the rights of holders;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conform the provisions of the indenture to the final offering document in respect of any series of debt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indenture will provide that we and the trustee may amend or supplement any provision of the debt securities of a series or of the indenture relating to such series with the written consent of the holders of at least a majority in principal amount of the outstanding debt securities of such series. However, without the consent of each holder of a debt security the terms of which are directly amended, supplemented or waived, an amendment, supplement or waiver may not: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amount of debt securities of such series whose holders must consent to an amendment, supplement or waiver;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rate of or extend the time for payment of interest, including defaulted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of or extend the fixed maturity of any debt security or alter the provisions with respect to redemptions or mandatory offers to repurchase debt securities of a series in a manner adverse to holders;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that adversely affects any right of a holder to convert or exchange any debt security into or for our ordinary shares or other securities, cash or other property in accordance with the terms of such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modify the ranking or priority of the debt securities of the relevant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release any guarantor of any series from any of its obligations under its guarantee or the indenture otherwise than in accordance with the terms of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to any provision of the indenture relating to the waiver of existing defaults, the rights of holders to receive payment of principal and interest on the debt securities, or to the provisions regarding amending or supplementing the indenture or the debt securities of a particular series with the written consent of the holders of such series, except to increase the percentage required for modification or waiver or to provide for consent of each affected holder of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continuing default or event of default in the payment of principal of or interest on the debt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debt security payable at a place or in money other than that stated in the debt security, or impair the right of any holder of a debt security to bring suit as permitted by the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aggregate principal amount of the outstanding debt securities of such series may, on behalf of all holders of debt securities of that series, waive any existing default under, or compliance with, any provision of the debt securities of a particular series or of the indenture relating to a particular series of debt securities, other than any event of default in payment of interest or principal. </w:t>
      </w:r>
    </w:p>
    <w:p>
      <w:pPr>
        <w:pStyle w:val="TextBody"/>
        <w:bidi w:val="0"/>
        <w:spacing w:before="360" w:after="0"/>
        <w:jc w:val="left"/>
        <w:rPr>
          <w:rFonts w:ascii="Times New Roman" w:hAnsi="Times New Roman"/>
          <w:b/>
          <w:i/>
          <w:sz w:val="20"/>
        </w:rPr>
      </w:pPr>
      <w:r>
        <w:rPr>
          <w:rFonts w:ascii="Times New Roman" w:hAnsi="Times New Roman"/>
          <w:b/>
          <w:i/>
          <w:sz w:val="20"/>
        </w:rPr>
        <w:t>Defeasance</w:t>
      </w:r>
    </w:p>
    <w:p>
      <w:pPr>
        <w:pStyle w:val="TextBody"/>
        <w:bidi w:val="0"/>
        <w:spacing w:before="120" w:after="0"/>
        <w:jc w:val="left"/>
        <w:rPr>
          <w:rFonts w:ascii="Times New Roman" w:hAnsi="Times New Roman"/>
          <w:sz w:val="20"/>
        </w:rPr>
      </w:pPr>
      <w:r>
        <w:rPr>
          <w:rFonts w:ascii="Times New Roman" w:hAnsi="Times New Roman"/>
          <w:sz w:val="20"/>
        </w:rPr>
        <w:t xml:space="preserve">The indenture will permit us to terminate all our respective obligations under the indenture as they relate to any particular series of debt securities, other than the obligation to pay interest, if any, on and the principal of the debt securities of such series and certain other obligations, at any time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depositing in trust with the trustee, under an irrevocable trust agreement, money or government obligations in an amount sufficient to pay principal of and interest, if any, on the debt securities of such series to their maturity or redemption;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complying with other conditions, including delivery to the trustee of an opinion of counsel to the effect that holders will not recognize income, gain or loss for federal income tax purposes as a result of our exercise of such right and will be subject to federal income tax on the same amount and in the same manner and at the same times as would have been the case otherwise.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indenture will also permit us to terminate all of our respective obligations under the indenture as they relate to any particular series of debt securities, including the obligations to pay interest, if any, on and the principal of the debt securities of such series and certain other obligations, at any time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depositing in trust with the trustee, under an irrevocable trust agreement, money or government obligations in an amount sufficient to pay principal of and interest, if any, on the debt securities of such series to their maturity or redemption;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complying with other conditions, including delivery to the trustee of an opinion of counsel to the effect that (A) we have received from, or there has been published by, the Internal Revenue Service a ruling, or (B) since the date such series of debt securities were originally issued, there has been a change in the applicable federal income tax law, in either case to the effect that, and based thereon such opinion of counsel shall state that, holders will not recognize income, gain or loss for federal income tax purposes as a result of our exercise of such right and will be subject to federal income tax on the same amount and in the same manner and at the same times as would have been the case otherwise.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the indenture will permit us to terminate substantially all our respective obligations under the indenture as they relate to a particular series of debt securities by depositing with the trustee money or government obligations sufficient to pay all principal and interest on such series at its maturity or redemption date if the debt securities of such series will become due and payable at maturity within one year or are to be called for redemption within one year of the deposit. </w:t>
      </w:r>
    </w:p>
    <w:p>
      <w:pPr>
        <w:pStyle w:val="TextBody"/>
        <w:bidi w:val="0"/>
        <w:spacing w:before="360" w:after="0"/>
        <w:jc w:val="left"/>
        <w:rPr>
          <w:rFonts w:ascii="Times New Roman" w:hAnsi="Times New Roman"/>
          <w:b/>
          <w:i/>
          <w:sz w:val="20"/>
        </w:rPr>
      </w:pPr>
      <w:r>
        <w:rPr>
          <w:rFonts w:ascii="Times New Roman" w:hAnsi="Times New Roman"/>
          <w:b/>
          <w:i/>
          <w:sz w:val="20"/>
        </w:rPr>
        <w:t>Transfer and Exchange</w:t>
      </w:r>
    </w:p>
    <w:p>
      <w:pPr>
        <w:pStyle w:val="TextBody"/>
        <w:bidi w:val="0"/>
        <w:spacing w:before="120" w:after="0"/>
        <w:jc w:val="left"/>
        <w:rPr>
          <w:rFonts w:ascii="Times New Roman" w:hAnsi="Times New Roman"/>
          <w:sz w:val="20"/>
        </w:rPr>
      </w:pPr>
      <w:r>
        <w:rPr>
          <w:rFonts w:ascii="Times New Roman" w:hAnsi="Times New Roman"/>
          <w:sz w:val="20"/>
        </w:rPr>
        <w:t xml:space="preserve">A holder will be able to transfer or exchange debt securities only in accordance with the indenture. The registrar may require a holder, among other things, to furnish appropriate endorsements and transfer documents, and to pay any taxes and fees required by law or permitted by the indenture. </w:t>
      </w:r>
    </w:p>
    <w:p>
      <w:pPr>
        <w:pStyle w:val="TextBody"/>
        <w:bidi w:val="0"/>
        <w:spacing w:before="360" w:after="0"/>
        <w:jc w:val="left"/>
        <w:rPr>
          <w:rFonts w:ascii="Times New Roman" w:hAnsi="Times New Roman"/>
          <w:b/>
          <w:i/>
          <w:sz w:val="20"/>
        </w:rPr>
      </w:pPr>
      <w:r>
        <w:rPr>
          <w:rFonts w:ascii="Times New Roman" w:hAnsi="Times New Roman"/>
          <w:b/>
          <w:i/>
          <w:sz w:val="20"/>
        </w:rPr>
        <w:t>Concerning the Trustee</w:t>
      </w:r>
    </w:p>
    <w:p>
      <w:pPr>
        <w:pStyle w:val="TextBody"/>
        <w:bidi w:val="0"/>
        <w:spacing w:before="120" w:after="0"/>
        <w:jc w:val="left"/>
        <w:rPr>
          <w:rFonts w:ascii="Times New Roman" w:hAnsi="Times New Roman"/>
          <w:sz w:val="20"/>
        </w:rPr>
      </w:pPr>
      <w:r>
        <w:rPr>
          <w:rFonts w:ascii="Times New Roman" w:hAnsi="Times New Roman"/>
          <w:sz w:val="20"/>
        </w:rPr>
        <w:t xml:space="preserve">The indenture will contain limitations on the rights of the trustee, should it become our creditor, to obtain payment of claims in specified cases or to realize on property received in respect of any such claim as security or otherwise. The indenture will permit the trustee to engage in other transactions; however, if it acquires any conflicting interest, it must eliminate such conflict or resign.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provide that in case an event of default occurs and is not cured, the trustee will be required, in the exercise of its power, to use the degree of care of a prudent person in similar circumstances in the conduct of such person’s own affairs. The trustee shall be under no obligation to exercise any of the rights or powers vested in it by the indenture at the request or direction of any of the holders pursuant to the indenture, unless such holders shall have offered to the trustee security or indemnity satisfactory to the trustee against the costs, expenses and liabilities which might be incurred by it in compliance with such request or direction. </w:t>
      </w:r>
    </w:p>
    <w:p>
      <w:pPr>
        <w:pStyle w:val="TextBody"/>
        <w:bidi w:val="0"/>
        <w:spacing w:before="360" w:after="0"/>
        <w:jc w:val="left"/>
        <w:rPr>
          <w:rFonts w:ascii="Times New Roman" w:hAnsi="Times New Roman"/>
          <w:b/>
          <w:i/>
          <w:sz w:val="20"/>
        </w:rPr>
      </w:pPr>
      <w:r>
        <w:rPr>
          <w:rFonts w:ascii="Times New Roman" w:hAnsi="Times New Roman"/>
          <w:b/>
          <w:i/>
          <w:sz w:val="20"/>
        </w:rPr>
        <w:t>No Recourse Against Others</w:t>
      </w:r>
    </w:p>
    <w:p>
      <w:pPr>
        <w:pStyle w:val="TextBody"/>
        <w:bidi w:val="0"/>
        <w:spacing w:before="120" w:after="0"/>
        <w:jc w:val="left"/>
        <w:rPr>
          <w:rFonts w:ascii="Times New Roman" w:hAnsi="Times New Roman"/>
          <w:sz w:val="20"/>
        </w:rPr>
      </w:pPr>
      <w:r>
        <w:rPr>
          <w:rFonts w:ascii="Times New Roman" w:hAnsi="Times New Roman"/>
          <w:sz w:val="20"/>
        </w:rPr>
        <w:t xml:space="preserve">The indenture will provide that there is no recourse under any obligation, covenant or agreement in the applicable indenture or with respect to any debt security against any of our or our successor’s past, present or future shareholders, employees, officers or directors. </w:t>
      </w:r>
    </w:p>
    <w:p>
      <w:pPr>
        <w:pStyle w:val="TextBody"/>
        <w:bidi w:val="0"/>
        <w:spacing w:before="360" w:after="0"/>
        <w:jc w:val="left"/>
        <w:rPr>
          <w:rFonts w:ascii="Times New Roman" w:hAnsi="Times New Roman"/>
          <w:b/>
          <w:i/>
          <w:sz w:val="20"/>
        </w:rPr>
      </w:pPr>
      <w:r>
        <w:rPr>
          <w:rFonts w:ascii="Times New Roman" w:hAnsi="Times New Roman"/>
          <w:b/>
          <w:i/>
          <w:sz w:val="20"/>
        </w:rPr>
        <w:t>Governing Law</w:t>
      </w:r>
    </w:p>
    <w:p>
      <w:pPr>
        <w:pStyle w:val="TextBody"/>
        <w:bidi w:val="0"/>
        <w:spacing w:before="120" w:after="0"/>
        <w:jc w:val="left"/>
        <w:rPr>
          <w:rFonts w:ascii="Times New Roman" w:hAnsi="Times New Roman"/>
          <w:sz w:val="20"/>
        </w:rPr>
      </w:pPr>
      <w:r>
        <w:rPr>
          <w:rFonts w:ascii="Times New Roman" w:hAnsi="Times New Roman"/>
          <w:sz w:val="20"/>
        </w:rPr>
        <w:t xml:space="preserve">The laws of the State of New York will govern the indenture and the debt securities. </w:t>
      </w:r>
    </w:p>
    <w:p>
      <w:pPr>
        <w:pStyle w:val="TextBody"/>
        <w:bidi w:val="0"/>
        <w:spacing w:before="360" w:after="0"/>
        <w:jc w:val="left"/>
        <w:rPr>
          <w:rFonts w:ascii="Times New Roman" w:hAnsi="Times New Roman"/>
          <w:b/>
          <w:sz w:val="20"/>
        </w:rPr>
      </w:pPr>
      <w:r>
        <w:rPr>
          <w:rFonts w:ascii="Times New Roman" w:hAnsi="Times New Roman"/>
          <w:b/>
          <w:sz w:val="20"/>
        </w:rPr>
        <w:t>Warrants</w:t>
      </w:r>
    </w:p>
    <w:p>
      <w:pPr>
        <w:pStyle w:val="TextBody"/>
        <w:bidi w:val="0"/>
        <w:spacing w:before="120" w:after="0"/>
        <w:jc w:val="left"/>
        <w:rPr>
          <w:rFonts w:ascii="Times New Roman" w:hAnsi="Times New Roman"/>
          <w:sz w:val="20"/>
        </w:rPr>
      </w:pPr>
      <w:r>
        <w:rPr>
          <w:rFonts w:ascii="Times New Roman" w:hAnsi="Times New Roman"/>
          <w:sz w:val="20"/>
        </w:rPr>
        <w:t xml:space="preserve">We may issue warrants for the purchase of ordinary shares, preferred shares and/or debt securities in one or more series, from time to time. We may issue warrants independently or together with ordinary shares, preferred shares and/or debt securities, and the warrants may be attached to or separate from those securities. </w:t>
      </w:r>
    </w:p>
    <w:p>
      <w:pPr>
        <w:pStyle w:val="TextBody"/>
        <w:bidi w:val="0"/>
        <w:spacing w:before="240" w:after="0"/>
        <w:jc w:val="left"/>
        <w:rPr>
          <w:rFonts w:ascii="Times New Roman" w:hAnsi="Times New Roman"/>
          <w:sz w:val="20"/>
        </w:rPr>
      </w:pPr>
      <w:r>
        <w:rPr>
          <w:rFonts w:ascii="Times New Roman" w:hAnsi="Times New Roman"/>
          <w:sz w:val="20"/>
        </w:rPr>
        <w:t xml:space="preserve">If we issue warrants, they will be evidenced by warrant agreements or warrant certificates issued under one or more warrant agreements, which are contracts between us and an agent for the holders of the warrants. We urge you to read the prospectus supplement related to any series of warrants we may offer, as well as the complete warrant agreement and warrant certificate that contain the terms of the warrants. If we issue warrants, forms of warrant agreements and warrant certificates relating to warrants for the purchase of ordinary shares, preferred shares and debt securities will be incorporated by reference into the registration statement of which this prospectus is a part from reports we would subsequently file with the SEC. </w:t>
      </w:r>
    </w:p>
    <w:p>
      <w:pPr>
        <w:pStyle w:val="TextBody"/>
        <w:bidi w:val="0"/>
        <w:spacing w:before="360" w:after="0"/>
        <w:jc w:val="left"/>
        <w:rPr>
          <w:rFonts w:ascii="Times New Roman" w:hAnsi="Times New Roman"/>
          <w:b/>
          <w:sz w:val="20"/>
        </w:rPr>
      </w:pPr>
      <w:r>
        <w:rPr>
          <w:rFonts w:ascii="Times New Roman" w:hAnsi="Times New Roman"/>
          <w:b/>
          <w:sz w:val="20"/>
        </w:rPr>
        <w:t>Units</w:t>
      </w:r>
    </w:p>
    <w:p>
      <w:pPr>
        <w:pStyle w:val="TextBody"/>
        <w:bidi w:val="0"/>
        <w:spacing w:before="120" w:after="0"/>
        <w:jc w:val="left"/>
        <w:rPr>
          <w:rFonts w:ascii="Times New Roman" w:hAnsi="Times New Roman"/>
          <w:sz w:val="20"/>
        </w:rPr>
      </w:pPr>
      <w:r>
        <w:rPr>
          <w:rFonts w:ascii="Times New Roman" w:hAnsi="Times New Roman"/>
          <w:sz w:val="20"/>
        </w:rPr>
        <w:t xml:space="preserve">We may issue units consisting of any combination of the other types of securities offered under this prospectus in one or more series. We may evidence each series of units by unit certificates that we will issue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a separate agreement. We may enter into unit agreements with a unit agent. Each unit agent will be a bank or trust company that we select. We will indicate the name and address of the unit agent in the applicable prospectus supplement relating to a particular series of units.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If we offer any units, certain terms of that series of units will be described in the applicable prospectus supplement, including, without limitation, the following, as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series of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identification and description of the separate constituent securities comprising the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the units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on and after which the constituent securities comprising the units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certain United States federal income tax considerations applicable to the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units and their constituent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oca161734_8"/>
      <w:bookmarkEnd w:id="10"/>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from time to time pursuant to underwritten public offerings, negotiated transactions, block trades or a combination of these methods. We may sell the securities to or through underwriters or dealers, through agents, or directly to one or more purchasers. We may distribute securities from time to time in one or more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fixed price or prices, which may be changed;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market prices prevailing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prices related to such prevailing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also sell equity securities covered by this registration statement in an “at the market offering” as defined in Rule 415(a)(4) under the Securities Act. Such offering may be made into an existing trading market for such securities in transactions at other than a fixed price,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or through the facilities of the Nasdaq Capital Market or any other securities exchange or quotation or trading service on which such securities may be listed, quoted or traded at the time of sale; and/or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or through a market maker otherwise than on the Nasdaq Capital Market or such other securities exchanges or quotation or trading services.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Such at the market offerings, if any, may be conducted by underwriters acting as principal or agent. </w:t>
      </w:r>
    </w:p>
    <w:p>
      <w:pPr>
        <w:pStyle w:val="TextBody"/>
        <w:bidi w:val="0"/>
        <w:spacing w:before="240" w:after="0"/>
        <w:jc w:val="left"/>
        <w:rPr>
          <w:rFonts w:ascii="Times New Roman" w:hAnsi="Times New Roman"/>
          <w:sz w:val="20"/>
        </w:rPr>
      </w:pPr>
      <w:r>
        <w:rPr>
          <w:rFonts w:ascii="Times New Roman" w:hAnsi="Times New Roman"/>
          <w:sz w:val="20"/>
        </w:rPr>
        <w:t xml:space="preserve">A prospectus supplement or supplements (and any related free writing prospectus that we may authorize to be provided to you) will describe the terms of the offering of the securities, including, to the extent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any underwriters, dealers or agents,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of the securities and the proceeds we will receive from the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options under which underwriters may purchase additional securities from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agency fees or underwriting discounts and other items constituting agents’ or underwriters’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public offering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or concessions allowed or re-allowed or paid to dealers;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securities exchange or market on which the securities may be listed.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Only underwriters named in the prospectus supplement are underwriters of the securities offered by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 </w:t>
      </w:r>
    </w:p>
    <w:p>
      <w:pPr>
        <w:pStyle w:val="TextBody"/>
        <w:bidi w:val="0"/>
        <w:spacing w:before="240" w:after="0"/>
        <w:jc w:val="left"/>
        <w:rPr>
          <w:rFonts w:ascii="Times New Roman" w:hAnsi="Times New Roman"/>
          <w:sz w:val="20"/>
        </w:rPr>
      </w:pPr>
      <w:r>
        <w:rPr>
          <w:rFonts w:ascii="Times New Roman" w:hAnsi="Times New Roman"/>
          <w:sz w:val="20"/>
        </w:rPr>
        <w:t xml:space="preserve">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may provide agents and underwriters with indemnification against civil liabilities related to offerings pursuant to this prospectus,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we offer, other than our ordinary shares,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 may engage in overallotment, stabilizing transactions, short 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underwriters who are qualified market makers on the Nasdaq Capital Market may engage in passive market making transactions in the securities on the Nasdaq Capital Market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oca161734_9"/>
      <w:bookmarkEnd w:id="11"/>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relating to U.S. federal law will be passed upon for us by Gibson, Dunn &amp; Crutcher LLP, San Francisco, California. The validity of the ordinary shares offered hereby and certain other legal matters relating to Cayman Islands law will be passed upon for us by Walkers (Cayman) LLP. Additional legal matters may be passed upon for us or any underwriters, dealers or agents, by counsel that we will name in the applicable prospectus supplement. </w:t>
      </w:r>
    </w:p>
    <w:p>
      <w:pPr>
        <w:pStyle w:val="TextBody"/>
        <w:bidi w:val="0"/>
        <w:spacing w:before="480" w:after="0"/>
        <w:jc w:val="center"/>
        <w:rPr>
          <w:rFonts w:ascii="Times New Roman" w:hAnsi="Times New Roman"/>
          <w:b/>
          <w:sz w:val="20"/>
        </w:rPr>
      </w:pPr>
      <w:bookmarkStart w:id="12" w:name="toca161734_10"/>
      <w:bookmarkEnd w:id="12"/>
      <w:r>
        <w:rPr>
          <w:rFonts w:ascii="Times New Roman" w:hAnsi="Times New Roman"/>
          <w:b/>
          <w:sz w:val="20"/>
        </w:rPr>
        <w:t>EXPERTS</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Damora Therapeutics, Inc. appearing in Damora Therapeutics, Inc.’s Annual Report (Form 10-K) for the year ended December 31, 2025, have been audited by EY Godkendt Revisionspartnerselskab,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oca161734_11"/>
      <w:bookmarkEnd w:id="13"/>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special reports, proxy statements and other information with the SEC, and we have filed with the SEC a registration statement on Form S-3 under the Securities Act with respect to the securities offered by this prospectus. This prospectus, which forms part of the registration statement, does not contain all of the information included in the registration statement, including its exhibits and schedules. For further information about us and the securities described in this prospectus, you should refer to the registration statement, its exhibits and schedules and our reports, proxies, information statements and other information filed with the SEC. </w:t>
      </w:r>
    </w:p>
    <w:p>
      <w:pPr>
        <w:pStyle w:val="TextBody"/>
        <w:bidi w:val="0"/>
        <w:spacing w:before="240" w:after="0"/>
        <w:jc w:val="left"/>
        <w:rPr>
          <w:rFonts w:ascii="Times New Roman" w:hAnsi="Times New Roman"/>
          <w:sz w:val="20"/>
        </w:rPr>
      </w:pPr>
      <w:r>
        <w:rPr>
          <w:rFonts w:ascii="Times New Roman" w:hAnsi="Times New Roman"/>
          <w:sz w:val="20"/>
        </w:rPr>
        <w:t xml:space="preserve">Our filings are available to the public on the Internet, through a database maintained by the SEC at </w:t>
      </w:r>
      <w:r>
        <w:rPr>
          <w:rFonts w:ascii="Times New Roman" w:hAnsi="Times New Roman"/>
          <w:i/>
          <w:sz w:val="20"/>
        </w:rPr>
        <w:t>www.sec.gov</w:t>
      </w:r>
      <w:r>
        <w:rPr>
          <w:rFonts w:ascii="Times New Roman" w:hAnsi="Times New Roman"/>
          <w:sz w:val="20"/>
        </w:rPr>
        <w:t xml:space="preserve">. We also maintain a website at </w:t>
      </w:r>
      <w:r>
        <w:rPr>
          <w:rFonts w:ascii="Times New Roman" w:hAnsi="Times New Roman"/>
          <w:i/>
          <w:sz w:val="20"/>
        </w:rPr>
        <w:t>www.damoratx.com</w:t>
      </w:r>
      <w:r>
        <w:rPr>
          <w:rFonts w:ascii="Times New Roman" w:hAnsi="Times New Roman"/>
          <w:sz w:val="20"/>
        </w:rPr>
        <w:t xml:space="preserve">. We have included our website address for the information of prospective investors and do not intend it to be an active link to our website. Information contained on our website does not constitute a part of this prospectus or any applicable prospectus supplement (or any document incorporated by reference herein or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oca161734_12"/>
      <w:bookmarkEnd w:id="14"/>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the information and reports we file with it, which means that we can disclose important information to you by referring you to those publicly available documents. The information incorporated by reference is an important part of this prospectus, and information that we file after the date hereof with the SEC will automatically update and supersede the information already incorporated by reference. We are incorporating by reference the documents listed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December 31, 2025, filed with the SEC on March  19, 2026, including certain information incorporated by reference therein from our </w:t>
            </w:r>
            <w:hyperlink r:id="rId4">
              <w:r>
                <w:rPr>
                  <w:rStyle w:val="InternetLink"/>
                  <w:rFonts w:ascii="Times New Roman" w:hAnsi="Times New Roman"/>
                  <w:sz w:val="20"/>
                </w:rPr>
                <w:t>Definitive Proxy Statement on Schedule 14A</w:t>
              </w:r>
            </w:hyperlink>
            <w:r>
              <w:rPr>
                <w:rFonts w:ascii="Times New Roman" w:hAnsi="Times New Roman"/>
                <w:sz w:val="20"/>
              </w:rPr>
              <w:t xml:space="preserve"> for our 2026 annual meeting of shareholders filed with the SEC on April 29,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quarters ended March 31, 2026 and June 30, 2026, filed with the SEC on </w:t>
            </w:r>
            <w:hyperlink r:id="rId5">
              <w:r>
                <w:rPr>
                  <w:rStyle w:val="InternetLink"/>
                  <w:rFonts w:ascii="Times New Roman" w:hAnsi="Times New Roman"/>
                  <w:sz w:val="20"/>
                </w:rPr>
                <w:t>May  12, 2026</w:t>
              </w:r>
            </w:hyperlink>
            <w:r>
              <w:rPr>
                <w:rFonts w:ascii="Times New Roman" w:hAnsi="Times New Roman"/>
                <w:sz w:val="20"/>
              </w:rPr>
              <w:t xml:space="preserve"> and </w:t>
            </w:r>
            <w:hyperlink r:id="rId6">
              <w:r>
                <w:rPr>
                  <w:rStyle w:val="InternetLink"/>
                  <w:rFonts w:ascii="Times New Roman" w:hAnsi="Times New Roman"/>
                  <w:sz w:val="20"/>
                </w:rPr>
                <w:t>August 10, 2026</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(except for information contained therein which is furnished rather than filed) filed with the SEC on </w:t>
            </w:r>
            <w:hyperlink r:id="rId7">
              <w:r>
                <w:rPr>
                  <w:rStyle w:val="InternetLink"/>
                  <w:rFonts w:ascii="Times New Roman" w:hAnsi="Times New Roman"/>
                  <w:sz w:val="20"/>
                </w:rPr>
                <w:t>January  6, 2026</w:t>
              </w:r>
            </w:hyperlink>
            <w:r>
              <w:rPr>
                <w:rFonts w:ascii="Times New Roman" w:hAnsi="Times New Roman"/>
                <w:sz w:val="20"/>
              </w:rPr>
              <w:t xml:space="preserve">, </w:t>
            </w:r>
            <w:hyperlink r:id="rId8">
              <w:r>
                <w:rPr>
                  <w:rStyle w:val="InternetLink"/>
                  <w:rFonts w:ascii="Times New Roman" w:hAnsi="Times New Roman"/>
                  <w:sz w:val="20"/>
                </w:rPr>
                <w:t>February  10, 2026</w:t>
              </w:r>
            </w:hyperlink>
            <w:r>
              <w:rPr>
                <w:rFonts w:ascii="Times New Roman" w:hAnsi="Times New Roman"/>
                <w:sz w:val="20"/>
              </w:rPr>
              <w:t xml:space="preserve">, </w:t>
            </w:r>
            <w:hyperlink r:id="rId9">
              <w:r>
                <w:rPr>
                  <w:rStyle w:val="InternetLink"/>
                  <w:rFonts w:ascii="Times New Roman" w:hAnsi="Times New Roman"/>
                  <w:sz w:val="20"/>
                </w:rPr>
                <w:t>February  11, 2026</w:t>
              </w:r>
            </w:hyperlink>
            <w:r>
              <w:rPr>
                <w:rFonts w:ascii="Times New Roman" w:hAnsi="Times New Roman"/>
                <w:sz w:val="20"/>
              </w:rPr>
              <w:t xml:space="preserve">, </w:t>
            </w:r>
            <w:hyperlink r:id="rId10">
              <w:r>
                <w:rPr>
                  <w:rStyle w:val="InternetLink"/>
                  <w:rFonts w:ascii="Times New Roman" w:hAnsi="Times New Roman"/>
                  <w:sz w:val="20"/>
                </w:rPr>
                <w:t>March  10, 2026</w:t>
              </w:r>
            </w:hyperlink>
            <w:r>
              <w:rPr>
                <w:rFonts w:ascii="Times New Roman" w:hAnsi="Times New Roman"/>
                <w:sz w:val="20"/>
              </w:rPr>
              <w:t xml:space="preserve">, </w:t>
            </w:r>
            <w:hyperlink r:id="rId11">
              <w:r>
                <w:rPr>
                  <w:rStyle w:val="InternetLink"/>
                  <w:rFonts w:ascii="Times New Roman" w:hAnsi="Times New Roman"/>
                  <w:sz w:val="20"/>
                </w:rPr>
                <w:t>March  23, 2026</w:t>
              </w:r>
            </w:hyperlink>
            <w:r>
              <w:rPr>
                <w:rFonts w:ascii="Times New Roman" w:hAnsi="Times New Roman"/>
                <w:sz w:val="20"/>
              </w:rPr>
              <w:t xml:space="preserve">, </w:t>
            </w:r>
            <w:hyperlink r:id="rId12">
              <w:r>
                <w:rPr>
                  <w:rStyle w:val="InternetLink"/>
                  <w:rFonts w:ascii="Times New Roman" w:hAnsi="Times New Roman"/>
                  <w:sz w:val="20"/>
                </w:rPr>
                <w:t>April  20, 2026</w:t>
              </w:r>
            </w:hyperlink>
            <w:r>
              <w:rPr>
                <w:rFonts w:ascii="Times New Roman" w:hAnsi="Times New Roman"/>
                <w:sz w:val="20"/>
              </w:rPr>
              <w:t xml:space="preserve">, </w:t>
            </w:r>
            <w:hyperlink r:id="rId13">
              <w:r>
                <w:rPr>
                  <w:rStyle w:val="InternetLink"/>
                  <w:rFonts w:ascii="Times New Roman" w:hAnsi="Times New Roman"/>
                  <w:sz w:val="20"/>
                </w:rPr>
                <w:t>May  4, 2026</w:t>
              </w:r>
            </w:hyperlink>
            <w:r>
              <w:rPr>
                <w:rFonts w:ascii="Times New Roman" w:hAnsi="Times New Roman"/>
                <w:sz w:val="20"/>
              </w:rPr>
              <w:t xml:space="preserve">, </w:t>
            </w:r>
            <w:hyperlink r:id="rId14">
              <w:r>
                <w:rPr>
                  <w:rStyle w:val="InternetLink"/>
                  <w:rFonts w:ascii="Times New Roman" w:hAnsi="Times New Roman"/>
                  <w:sz w:val="20"/>
                </w:rPr>
                <w:t>June  17, 2026</w:t>
              </w:r>
            </w:hyperlink>
            <w:r>
              <w:rPr>
                <w:rFonts w:ascii="Times New Roman" w:hAnsi="Times New Roman"/>
                <w:sz w:val="20"/>
              </w:rPr>
              <w:t xml:space="preserve"> and </w:t>
            </w:r>
            <w:hyperlink r:id="rId15">
              <w:r>
                <w:rPr>
                  <w:rStyle w:val="InternetLink"/>
                  <w:rFonts w:ascii="Times New Roman" w:hAnsi="Times New Roman"/>
                  <w:sz w:val="20"/>
                </w:rPr>
                <w:t>July 20,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ordinary shares contained in our registration statement on </w:t>
            </w:r>
            <w:hyperlink r:id="rId16">
              <w:r>
                <w:rPr>
                  <w:rStyle w:val="InternetLink"/>
                  <w:rFonts w:ascii="Times New Roman" w:hAnsi="Times New Roman"/>
                  <w:sz w:val="20"/>
                </w:rPr>
                <w:t>Form 8-A</w:t>
              </w:r>
            </w:hyperlink>
            <w:r>
              <w:rPr>
                <w:rFonts w:ascii="Times New Roman" w:hAnsi="Times New Roman"/>
                <w:sz w:val="20"/>
              </w:rPr>
              <w:t xml:space="preserve"> filed with the SEC on October 23, 2020 under Section  12 of the Exchange Act, as amended by </w:t>
            </w:r>
            <w:hyperlink r:id="rId17">
              <w:r>
                <w:rPr>
                  <w:rStyle w:val="InternetLink"/>
                  <w:rFonts w:ascii="Times New Roman" w:hAnsi="Times New Roman"/>
                  <w:sz w:val="20"/>
                </w:rPr>
                <w:t>Form 8-A/A</w:t>
              </w:r>
            </w:hyperlink>
            <w:r>
              <w:rPr>
                <w:rFonts w:ascii="Times New Roman" w:hAnsi="Times New Roman"/>
                <w:sz w:val="20"/>
              </w:rPr>
              <w:t xml:space="preserve"> filed with the SEC on August 10, 2026, including any amendment or report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incorporates by reference the documents listed above and any future filings we make with the SEC under Sections 13(a), 13(c), 14 or 15(d) of the Exchange Act between the date of the initial registration statement and the effectiveness of the registration statement and following the effectiveness of the registration statement until the offering of the securities under the registration statement is terminated or completed, except that we are not incorporating by reference any information furnished (and not filed) with the SEC, including any information furnished pursuant to Items 2.02 or 7.01 of Form 8-K or related exhibits furnished pursuant to Item 9.01 of Form 8-K (unless expressly provided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You may request a copy of these filings (other than exhibits to such documents unless such exhibits are specifically incorporated by reference herein), at no cost, by contacting us, either orally or in writing, at the following: </w:t>
      </w:r>
    </w:p>
    <w:p>
      <w:pPr>
        <w:pStyle w:val="TextBody"/>
        <w:bidi w:val="0"/>
        <w:spacing w:before="240" w:after="0"/>
        <w:jc w:val="center"/>
        <w:rPr>
          <w:rFonts w:ascii="Times New Roman" w:hAnsi="Times New Roman"/>
          <w:sz w:val="20"/>
        </w:rPr>
      </w:pPr>
      <w:r>
        <w:rPr>
          <w:rFonts w:ascii="Times New Roman" w:hAnsi="Times New Roman"/>
          <w:sz w:val="20"/>
        </w:rPr>
        <w:t xml:space="preserve">Damora Therapeutics, Inc.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221 Crescent Street, Building 23, Suite 105 </w:t>
      </w:r>
    </w:p>
    <w:p>
      <w:pPr>
        <w:pStyle w:val="TextBody"/>
        <w:bidi w:val="0"/>
        <w:spacing w:before="0" w:after="0"/>
        <w:jc w:val="center"/>
        <w:rPr>
          <w:rFonts w:ascii="Times New Roman" w:hAnsi="Times New Roman"/>
          <w:sz w:val="20"/>
        </w:rPr>
      </w:pPr>
      <w:r>
        <w:rPr>
          <w:rFonts w:ascii="Times New Roman" w:hAnsi="Times New Roman"/>
          <w:sz w:val="20"/>
        </w:rPr>
        <w:t xml:space="preserve">Waltham, MA 02453 </w:t>
      </w:r>
    </w:p>
    <w:p>
      <w:pPr>
        <w:pStyle w:val="TextBody"/>
        <w:bidi w:val="0"/>
        <w:spacing w:before="0" w:after="0"/>
        <w:jc w:val="center"/>
        <w:rPr>
          <w:rFonts w:ascii="Times New Roman" w:hAnsi="Times New Roman"/>
          <w:sz w:val="20"/>
        </w:rPr>
      </w:pPr>
      <w:r>
        <w:rPr>
          <w:rFonts w:ascii="Times New Roman" w:hAnsi="Times New Roman"/>
          <w:sz w:val="20"/>
        </w:rPr>
        <w:t xml:space="preserve">(781) 281-9020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Information about us, including our reports filed with the SEC, is available through our website at </w:t>
      </w:r>
      <w:r>
        <w:rPr>
          <w:rFonts w:ascii="Times New Roman" w:hAnsi="Times New Roman"/>
          <w:i/>
          <w:sz w:val="20"/>
        </w:rPr>
        <w:t>www.damoratx.com</w:t>
      </w:r>
      <w:r>
        <w:rPr>
          <w:rFonts w:ascii="Times New Roman" w:hAnsi="Times New Roman"/>
          <w:sz w:val="20"/>
        </w:rPr>
        <w:t xml:space="preserve">. Such reports are accessible at no charge through our website and are made available as soon as reasonably practicable after such material is filed with or furnished to the SEC. Our website and the information contained on that website, or connected to that website, are not incorporated by reference in this prospectus. We have authorized no one to provide you with any information that differs from that contained in this prospectus. Accordingly, we take no responsibility for any other information that others may give you. You should not assume that the information in this prospectus is accurate as of any date other than the date of the front cover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612"/>
        <w:gridCol w:w="102"/>
        <w:gridCol w:w="4491"/>
      </w:tblGrid>
      <w:tr>
        <w:trPr/>
        <w:tc>
          <w:tcPr>
            <w:tcW w:w="561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491" w:type="dxa"/>
            <w:tcBorders/>
            <w:vAlign w:val="center"/>
          </w:tcPr>
          <w:p>
            <w:pPr>
              <w:pStyle w:val="TableContents"/>
              <w:bidi w:val="0"/>
              <w:spacing w:before="0" w:after="283"/>
              <w:jc w:val="left"/>
              <w:rPr>
                <w:sz w:val="4"/>
                <w:szCs w:val="4"/>
              </w:rPr>
            </w:pPr>
            <w:r>
              <w:rPr>
                <w:sz w:val="4"/>
                <w:szCs w:val="4"/>
              </w:rPr>
            </w:r>
          </w:p>
        </w:tc>
      </w:tr>
      <w:tr>
        <w:trPr/>
        <w:tc>
          <w:tcPr>
            <w:tcW w:w="5612" w:type="dxa"/>
            <w:tcBorders/>
          </w:tcPr>
          <w:p>
            <w:pPr>
              <w:pStyle w:val="TableContents"/>
              <w:bidi w:val="0"/>
              <w:spacing w:before="0" w:after="283"/>
              <w:jc w:val="left"/>
              <w:rPr>
                <w:b/>
              </w:rPr>
            </w:pPr>
            <w:r>
              <w:rPr>
                <w:b/>
              </w:rPr>
              <w:t>Amendment No. 1 Dated August 10, 2026</w:t>
            </w:r>
          </w:p>
        </w:tc>
        <w:tc>
          <w:tcPr>
            <w:tcW w:w="102" w:type="dxa"/>
            <w:tcBorders/>
            <w:vAlign w:val="bottom"/>
          </w:tcPr>
          <w:p>
            <w:pPr>
              <w:pStyle w:val="TableContents"/>
              <w:bidi w:val="0"/>
              <w:spacing w:before="0" w:after="283"/>
              <w:jc w:val="left"/>
              <w:rPr/>
            </w:pPr>
            <w:r>
              <w:rPr/>
              <w:t> </w:t>
            </w:r>
          </w:p>
        </w:tc>
        <w:tc>
          <w:tcPr>
            <w:tcW w:w="4491" w:type="dxa"/>
            <w:tcBorders/>
          </w:tcPr>
          <w:p>
            <w:pPr>
              <w:pStyle w:val="TableContents"/>
              <w:bidi w:val="0"/>
              <w:spacing w:before="0" w:after="283"/>
              <w:jc w:val="right"/>
              <w:rPr>
                <w:b/>
              </w:rPr>
            </w:pPr>
            <w:r>
              <w:rPr>
                <w:b/>
              </w:rPr>
              <w:t>Registration No. 333-293343</w:t>
            </w:r>
          </w:p>
        </w:tc>
      </w:tr>
      <w:tr>
        <w:trPr/>
        <w:tc>
          <w:tcPr>
            <w:tcW w:w="5612" w:type="dxa"/>
            <w:tcBorders/>
          </w:tcPr>
          <w:p>
            <w:pPr>
              <w:pStyle w:val="TableContents"/>
              <w:bidi w:val="0"/>
              <w:spacing w:before="0" w:after="283"/>
              <w:jc w:val="left"/>
              <w:rPr>
                <w:b/>
              </w:rPr>
            </w:pPr>
            <w:r>
              <w:rPr>
                <w:b/>
              </w:rPr>
              <w:t>To Prospectus Supplement dated February 10, 2026</w:t>
            </w:r>
          </w:p>
        </w:tc>
        <w:tc>
          <w:tcPr>
            <w:tcW w:w="102" w:type="dxa"/>
            <w:tcBorders/>
            <w:vAlign w:val="bottom"/>
          </w:tcPr>
          <w:p>
            <w:pPr>
              <w:pStyle w:val="TableContents"/>
              <w:bidi w:val="0"/>
              <w:spacing w:before="0" w:after="283"/>
              <w:jc w:val="left"/>
              <w:rPr/>
            </w:pPr>
            <w:r>
              <w:rPr/>
              <w:t> </w:t>
            </w:r>
          </w:p>
        </w:tc>
        <w:tc>
          <w:tcPr>
            <w:tcW w:w="4491" w:type="dxa"/>
            <w:tcBorders/>
          </w:tcPr>
          <w:p>
            <w:pPr>
              <w:pStyle w:val="TableContents"/>
              <w:bidi w:val="0"/>
              <w:spacing w:before="0" w:after="283"/>
              <w:jc w:val="left"/>
              <w:rPr>
                <w:sz w:val="4"/>
                <w:szCs w:val="4"/>
              </w:rPr>
            </w:pPr>
            <w:r>
              <w:rPr>
                <w:sz w:val="4"/>
                <w:szCs w:val="4"/>
              </w:rPr>
            </w:r>
          </w:p>
        </w:tc>
      </w:tr>
      <w:tr>
        <w:trPr/>
        <w:tc>
          <w:tcPr>
            <w:tcW w:w="5612" w:type="dxa"/>
            <w:tcBorders/>
          </w:tcPr>
          <w:p>
            <w:pPr>
              <w:pStyle w:val="TableContents"/>
              <w:bidi w:val="0"/>
              <w:spacing w:before="0" w:after="283"/>
              <w:jc w:val="left"/>
              <w:rPr>
                <w:b/>
              </w:rPr>
            </w:pPr>
            <w:r>
              <w:rPr>
                <w:b/>
              </w:rPr>
              <w:t>(To the accompanying Prospectus, dated August 10, 2026)</w:t>
            </w:r>
          </w:p>
        </w:tc>
        <w:tc>
          <w:tcPr>
            <w:tcW w:w="102" w:type="dxa"/>
            <w:tcBorders/>
            <w:vAlign w:val="bottom"/>
          </w:tcPr>
          <w:p>
            <w:pPr>
              <w:pStyle w:val="TableContents"/>
              <w:bidi w:val="0"/>
              <w:spacing w:before="0" w:after="283"/>
              <w:jc w:val="left"/>
              <w:rPr/>
            </w:pPr>
            <w:r>
              <w:rPr/>
              <w:t> </w:t>
            </w:r>
          </w:p>
        </w:tc>
        <w:tc>
          <w:tcPr>
            <w:tcW w:w="4491" w:type="dxa"/>
            <w:tcBorders/>
          </w:tcPr>
          <w:p>
            <w:pPr>
              <w:pStyle w:val="TableContents"/>
              <w:bidi w:val="0"/>
              <w:spacing w:before="0" w:after="283"/>
              <w:jc w:val="left"/>
              <w:rPr>
                <w:sz w:val="4"/>
                <w:szCs w:val="4"/>
              </w:rPr>
            </w:pPr>
            <w:r>
              <w:rPr>
                <w:sz w:val="4"/>
                <w:szCs w:val="4"/>
              </w:rPr>
            </w:r>
          </w:p>
        </w:tc>
      </w:tr>
    </w:tbl>
    <w:p>
      <w:pPr>
        <w:pStyle w:val="TextBody"/>
        <w:bidi w:val="0"/>
        <w:spacing w:before="200" w:after="0"/>
        <w:jc w:val="center"/>
        <w:rPr>
          <w:rFonts w:ascii="Times New Roman" w:hAnsi="Times New Roman"/>
          <w:b/>
          <w:sz w:val="32"/>
        </w:rPr>
      </w:pPr>
      <w:r>
        <w:rPr>
          <w:rFonts w:ascii="Times New Roman" w:hAnsi="Times New Roman"/>
          <w:b/>
          <w:sz w:val="32"/>
        </w:rPr>
        <w:t xml:space="preserve">$150,000,000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536190" cy="65849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8"/>
                    <a:stretch>
                      <a:fillRect/>
                    </a:stretch>
                  </pic:blipFill>
                  <pic:spPr bwMode="auto">
                    <a:xfrm>
                      <a:off x="0" y="0"/>
                      <a:ext cx="2536190" cy="658495"/>
                    </a:xfrm>
                    <a:prstGeom prst="rect">
                      <a:avLst/>
                    </a:prstGeom>
                  </pic:spPr>
                </pic:pic>
              </a:graphicData>
            </a:graphic>
          </wp:inline>
        </w:drawing>
      </w:r>
      <w:r>
        <w:rPr/>
        <w:t xml:space="preserve"> </w:t>
      </w:r>
    </w:p>
    <w:p>
      <w:pPr>
        <w:pStyle w:val="TextBody"/>
        <w:bidi w:val="0"/>
        <w:spacing w:before="200" w:after="0"/>
        <w:jc w:val="center"/>
        <w:rPr>
          <w:rFonts w:ascii="Times New Roman" w:hAnsi="Times New Roman"/>
          <w:b/>
          <w:sz w:val="48"/>
        </w:rPr>
      </w:pPr>
      <w:r>
        <w:rPr>
          <w:rFonts w:ascii="Times New Roman" w:hAnsi="Times New Roman"/>
          <w:b/>
          <w:sz w:val="48"/>
        </w:rPr>
        <w:t xml:space="preserve">Damora Therapeutics, Inc. </w:t>
      </w:r>
    </w:p>
    <w:p>
      <w:pPr>
        <w:pStyle w:val="TextBody"/>
        <w:bidi w:val="0"/>
        <w:spacing w:before="200" w:after="0"/>
        <w:jc w:val="center"/>
        <w:rPr>
          <w:rFonts w:ascii="Times New Roman" w:hAnsi="Times New Roman"/>
          <w:b/>
          <w:sz w:val="28"/>
        </w:rPr>
      </w:pPr>
      <w:r>
        <w:rPr>
          <w:rFonts w:ascii="Times New Roman" w:hAnsi="Times New Roman"/>
          <w:b/>
          <w:sz w:val="28"/>
        </w:rPr>
        <w:t>Ordinary Shares</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 xml:space="preserve">We have entered into an amended and restated sales agreement (the “Sales Agreement”) with TD Securities (USA) LLC (“TD Cowen”) relating to our ordinary shares, par value $0.00001 per share. In accordance with the terms of the Sales Agreement, we may offer and sell our ordinary shares having an aggregate offering price of up to $150,000,000 from time to time through TD Cowen, acting as sales agent. The Sales Agreement amends and restates in full the sales agreement, dated February 10, 2026 (the “Original Sales Agreement”), between Damora Therapeutics, Inc. (formerly known as Galecto, Inc.), a Delaware corporation and our predecessor in interest, and TD Cowen. As of the date of this amendment no. 1 to the prospectus supplement dated February 10, 2026, which we collectively refer to as the prospectus supplement, we had previously issued and sold our shares having an aggregate offering price of $29,968,064 pursuant to the Original Sales Agreement under this Registration Statement. Accordingly, under this prospectus supplement, in accordance with the terms of the Sales Agreement, we may offer and sell our common stock having an aggregate offering price of up to $120,031,936 from time to time. </w:t>
      </w:r>
    </w:p>
    <w:p>
      <w:pPr>
        <w:pStyle w:val="TextBody"/>
        <w:bidi w:val="0"/>
        <w:spacing w:before="200" w:after="0"/>
        <w:jc w:val="left"/>
        <w:rPr>
          <w:rFonts w:ascii="Times New Roman" w:hAnsi="Times New Roman"/>
          <w:sz w:val="20"/>
        </w:rPr>
      </w:pPr>
      <w:r>
        <w:rPr>
          <w:rFonts w:ascii="Times New Roman" w:hAnsi="Times New Roman"/>
          <w:sz w:val="20"/>
        </w:rPr>
        <w:t xml:space="preserve">Our ordinary shares are listed on the Nasdaq Capital Market under the trading symbol “DMRA.” On August 7, 2026, the last reported sale price of our ordinary shares was $29.92 per share. </w:t>
      </w:r>
    </w:p>
    <w:p>
      <w:pPr>
        <w:pStyle w:val="TextBody"/>
        <w:bidi w:val="0"/>
        <w:spacing w:before="200" w:after="0"/>
        <w:jc w:val="left"/>
        <w:rPr>
          <w:rFonts w:ascii="Times New Roman" w:hAnsi="Times New Roman"/>
          <w:sz w:val="20"/>
        </w:rPr>
      </w:pPr>
      <w:r>
        <w:rPr>
          <w:rFonts w:ascii="Times New Roman" w:hAnsi="Times New Roman"/>
          <w:sz w:val="20"/>
        </w:rPr>
        <w:t xml:space="preserve">Sales of our ordinary shares, if any, under this prospectus supplement and the accompanying prospectus will be made in negotiated transactions, including block trades or block sales, or by any method permitted by law deemed to be an “at the market offering” as defined in Rule 415 promulgated under the Securities Act of 1933, as amended (the “Securities Act”), including without limitation sales made through the Nasdaq Capital Market or on any other trading market for our ordinary shares, or by any other method permitted by law. TD Cowen is not required to sell any specific number or dollar amounts of securities but will act as sales agent using commercially reasonable efforts consistent with their normal trading and sales practices, on mutually agreed terms between TD Cowen and us. There is no arrangement for funds to be received in any escrow, trust or similar arrangement. </w:t>
      </w:r>
    </w:p>
    <w:p>
      <w:pPr>
        <w:pStyle w:val="TextBody"/>
        <w:bidi w:val="0"/>
        <w:spacing w:before="200" w:after="0"/>
        <w:jc w:val="left"/>
        <w:rPr>
          <w:rFonts w:ascii="Times New Roman" w:hAnsi="Times New Roman"/>
          <w:sz w:val="20"/>
        </w:rPr>
      </w:pPr>
      <w:r>
        <w:rPr>
          <w:rFonts w:ascii="Times New Roman" w:hAnsi="Times New Roman"/>
          <w:sz w:val="20"/>
        </w:rPr>
        <w:t xml:space="preserve">TD Cowen will be entitled to compensation at a commission of up to 3.0% of the aggregate gross sales price per share sold under the Sales Agreement. In connection with the sale of our ordinary shares on our behalf, TD Cowen will be deemed to be an “underwriter” within the meaning of the Securities Act and the compensation of TD Cowen will be deemed to be underwriting commissions or discounts. We have also agreed to provide indemnification and contributions to TD Cowen against certain civil liabilities, including liabilities under the Securities Act. See “Plan of Distribution” beginning on page S-14 of this prospectus supplement for additional information regarding TD Cowen’s compensation. </w:t>
      </w:r>
    </w:p>
    <w:p>
      <w:pPr>
        <w:pStyle w:val="TextBody"/>
        <w:bidi w:val="0"/>
        <w:spacing w:before="200" w:after="0"/>
        <w:jc w:val="left"/>
        <w:rPr/>
      </w:pPr>
      <w:r>
        <w:rPr>
          <w:rFonts w:ascii="Times New Roman" w:hAnsi="Times New Roman"/>
          <w:b/>
          <w:sz w:val="24"/>
        </w:rPr>
        <w:t>Investing in our ordinary shares involves a high degree of risk. Before making an investment decision, you should review carefully and consider all of the information set forth in this prospectus supplement, the accompany prospectus and the documents incorporated by reference in this prospectus supplement. See “</w:t>
      </w:r>
      <w:hyperlink w:anchor="tocb161734_4">
        <w:r>
          <w:rPr>
            <w:rStyle w:val="InternetLink"/>
            <w:rFonts w:ascii="Times New Roman" w:hAnsi="Times New Roman"/>
            <w:b/>
            <w:sz w:val="24"/>
          </w:rPr>
          <w:t>Risk Factors</w:t>
        </w:r>
      </w:hyperlink>
      <w:r>
        <w:rPr>
          <w:rFonts w:ascii="Times New Roman" w:hAnsi="Times New Roman"/>
          <w:b/>
          <w:sz w:val="24"/>
        </w:rPr>
        <w:t>” beginning on page S-8 of this prospectus supplement and in the documents incorporated by reference herein.</w:t>
      </w:r>
    </w:p>
    <w:p>
      <w:pPr>
        <w:pStyle w:val="TextBody"/>
        <w:bidi w:val="0"/>
        <w:spacing w:before="200" w:after="0"/>
        <w:jc w:val="left"/>
        <w:rPr>
          <w:rFonts w:ascii="Times New Roman" w:hAnsi="Times New Roman"/>
          <w:b/>
          <w:sz w:val="20"/>
        </w:rPr>
      </w:pPr>
      <w:r>
        <w:rPr>
          <w:rFonts w:ascii="Times New Roman" w:hAnsi="Times New Roman"/>
          <w:b/>
          <w:sz w:val="20"/>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pStyle w:val="TextBody"/>
        <w:bidi w:val="0"/>
        <w:spacing w:before="200" w:after="0"/>
        <w:jc w:val="center"/>
        <w:rPr>
          <w:rFonts w:ascii="Times New Roman" w:hAnsi="Times New Roman"/>
          <w:b/>
          <w:sz w:val="32"/>
        </w:rPr>
      </w:pPr>
      <w:r>
        <w:rPr>
          <w:rFonts w:ascii="Times New Roman" w:hAnsi="Times New Roman"/>
          <w:b/>
          <w:sz w:val="32"/>
        </w:rPr>
        <w:t>TD Cowen</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0"/>
        </w:rPr>
      </w:pPr>
      <w:r>
        <w:rPr>
          <w:rFonts w:ascii="Times New Roman" w:hAnsi="Times New Roman"/>
          <w:b/>
          <w:sz w:val="20"/>
        </w:rPr>
        <w:t xml:space="preserve">The date of this prospectus supplement is August 10,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240" w:after="0"/>
        <w:jc w:val="center"/>
        <w:rPr>
          <w:rFonts w:ascii="Times New Roman" w:hAnsi="Times New Roman"/>
          <w:b/>
          <w:sz w:val="20"/>
        </w:rPr>
      </w:pPr>
      <w:r>
        <w:rPr>
          <w:rFonts w:ascii="Times New Roman" w:hAnsi="Times New Roman"/>
          <w:b/>
          <w:sz w:val="20"/>
        </w:rPr>
        <w:t>PROSPECTUS SUPPLEMENT</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0"/>
              <w:jc w:val="left"/>
              <w:rPr/>
            </w:pPr>
            <w:hyperlink w:anchor="tocb161734_1">
              <w:r>
                <w:rPr>
                  <w:rStyle w:val="InternetLink"/>
                  <w:rFonts w:ascii="Times New Roman" w:hAnsi="Times New Roman"/>
                  <w:sz w:val="20"/>
                </w:rPr>
                <w:t>ABOUT THIS PROSPECTUS SUPPLEMENT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ocb161734_2">
              <w:r>
                <w:rPr>
                  <w:rStyle w:val="InternetLink"/>
                  <w:rFonts w:ascii="Times New Roman" w:hAnsi="Times New Roman"/>
                  <w:sz w:val="20"/>
                </w:rPr>
                <w:t>PROSPECTUS SUPPLEMENT 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ocb161734_3">
              <w:r>
                <w:rPr>
                  <w:rStyle w:val="InternetLink"/>
                  <w:rFonts w:ascii="Times New Roman" w:hAnsi="Times New Roman"/>
                  <w:sz w:val="20"/>
                </w:rPr>
                <w:t>THE OFFERING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ocb161734_4">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S-8</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ocb161734_5">
              <w:r>
                <w:rPr>
                  <w:rStyle w:val="InternetLink"/>
                  <w:rFonts w:ascii="Times New Roman" w:hAnsi="Times New Roman"/>
                  <w:sz w:val="20"/>
                </w:rPr>
                <w:t>SPECIAL NOTE REGARDING 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S-10</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ocb161734_6">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ocb161734_7">
              <w:r>
                <w:rPr>
                  <w:rStyle w:val="InternetLink"/>
                  <w:rFonts w:ascii="Times New Roman" w:hAnsi="Times New Roman"/>
                  <w:sz w:val="20"/>
                </w:rPr>
                <w:t>DILUTION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ocb161734_8">
              <w:r>
                <w:rPr>
                  <w:rStyle w:val="InternetLink"/>
                  <w:rFonts w:ascii="Times New Roman" w:hAnsi="Times New Roman"/>
                  <w:sz w:val="20"/>
                </w:rPr>
                <w:t>PLAN OF DISTRIBUTION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S-14</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ocb161734_9">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ocb161734_10">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ocb161734_11">
              <w:r>
                <w:rPr>
                  <w:rStyle w:val="InternetLink"/>
                  <w:rFonts w:ascii="Times New Roman" w:hAnsi="Times New Roman"/>
                  <w:sz w:val="20"/>
                </w:rPr>
                <w:t>WHERE YOU CAN FIND MORE INFORMATION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S-17</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ocb161734_12">
              <w:r>
                <w:rPr>
                  <w:rStyle w:val="InternetLink"/>
                  <w:rFonts w:ascii="Times New Roman" w:hAnsi="Times New Roman"/>
                  <w:sz w:val="20"/>
                </w:rPr>
                <w:t>INCORPORATION OF CERTAIN INFORMATION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S-18</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ocb161734_1"/>
      <w:bookmarkEnd w:id="15"/>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is part of an automatic shelf registration statement (File No. 333-293343) that we have filed with the Securities and Exchange Commission (“SEC”) as a “well-known seasoned issuer” as defined in Rule 405 under the Securities Act utilizing a “shelf” registration process. This prospectus supplement forms part of Post-Effective Amendment No. 1 to that registration statement, which we filed with the SEC pursuant to Rule 414(d) under the Securities Act in connection with our redomestication from the State of Delaware to the Cayman Islands, and amends and restates in its entirety the sales agreement prospectus supplement dated February 10, 2026 included in that registration statement. Under the shelf registration statement, we may sell an unspecified amount of securities from time to time. Under this prospectus supplement, we may offer our ordinary shares having an aggregate offering price of up to $120,031,936 from time to time at prices and on terms to be determined by market conditions at the time of offering. </w:t>
      </w:r>
    </w:p>
    <w:p>
      <w:pPr>
        <w:pStyle w:val="TextBody"/>
        <w:bidi w:val="0"/>
        <w:spacing w:before="240" w:after="0"/>
        <w:jc w:val="left"/>
        <w:rPr>
          <w:rFonts w:ascii="Times New Roman" w:hAnsi="Times New Roman"/>
          <w:sz w:val="20"/>
        </w:rPr>
      </w:pPr>
      <w:r>
        <w:rPr>
          <w:rFonts w:ascii="Times New Roman" w:hAnsi="Times New Roman"/>
          <w:sz w:val="20"/>
        </w:rPr>
        <w:t xml:space="preserve">We provide information to you about this offering of our ordinary shares in two separate documents that are bound together: (1) this prospectus supplement, which describes the specific details regarding this offering; and (2) the accompanying prospectus, which provides general information, some of which may not apply to this offering. Generally, when we refer to this “prospectus,” we are referring to both documents combined. If information in this prospectus supplement is inconsistent with the accompanying prospectus, you should rely on this prospectus supplement. However, if any statement in one of these documents is inconsistent with a statement in another document having a later date - for example, a document incorporated by reference in this prospectus supplement - the statement in the document having the later date modifies or supersedes the earlier statement as our business, financial condition, results of operations and prospects may have changed since the earlier dates. </w:t>
      </w:r>
    </w:p>
    <w:p>
      <w:pPr>
        <w:pStyle w:val="TextBody"/>
        <w:bidi w:val="0"/>
        <w:spacing w:before="240" w:after="0"/>
        <w:jc w:val="left"/>
        <w:rPr>
          <w:rFonts w:ascii="Times New Roman" w:hAnsi="Times New Roman"/>
          <w:sz w:val="20"/>
        </w:rPr>
      </w:pPr>
      <w:r>
        <w:rPr>
          <w:rFonts w:ascii="Times New Roman" w:hAnsi="Times New Roman"/>
          <w:sz w:val="20"/>
        </w:rPr>
        <w:t>We have not, and TD Cowen has not, authorized any other person to provide you with any information or to make any representations other than those contained in or incorporated by reference in this prospectus supplement, the accompanying prospectus and any free writing prospectus prepared by or on behalf of us or to which we have referred you. We and TD Cowen take no responsibility for, and can provide no assurance as to the reliability of, any other information that others may give you. We and TD Cowen are not making an offer to sell or soliciting an offer to buy our securities in any jurisdiction in which an offer or solicitation is not authorized or in which the person making that offer or solicitation is not qualified to do so or to anyone to whom it is unlawful to make an offer or solicitation. You should assume that the information appearing in this prospectus supplement, the accompanying prospectus, the documents incorporated by reference into this prospectus supplement and in any free writing prospectus that we may authorize for use in connection with this offering is accurate only as of the date of those respective documents. Our business, financial condition, results of operations and prospects may have changed since those dates. You should read this prospectus supplement, the accompanying prospectus, the documents incorporated by reference into this prospectus supplement and any free writing prospectus that we may authorize for use in connection with this offering, in their entirety before making an investment decision. You should also read and consider the information in the documents to which we have referred you in the sections of this prospectus supplement titled “</w:t>
      </w:r>
      <w:r>
        <w:rPr>
          <w:rFonts w:ascii="Times New Roman" w:hAnsi="Times New Roman"/>
          <w:i/>
          <w:sz w:val="20"/>
        </w:rPr>
        <w:t>Where You Can Find More Information</w:t>
      </w:r>
      <w:r>
        <w:rPr>
          <w:rFonts w:ascii="Times New Roman" w:hAnsi="Times New Roman"/>
          <w:sz w:val="20"/>
        </w:rPr>
        <w:t>” and “</w:t>
      </w:r>
      <w:r>
        <w:rPr>
          <w:rFonts w:ascii="Times New Roman" w:hAnsi="Times New Roman"/>
          <w:i/>
          <w:sz w:val="20"/>
        </w:rPr>
        <w:t>Incorporation of Certain Information by Reference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are offering to sell, and seeking offers to buy, ordinary shares only in jurisdictions where offers and sales are permitted. The distribution of this prospectus supplement and the accompanying prospectus and the offering of our ordinary shares in certain jurisdictions may be restricted by law. Persons outside the United States who come into possession of this prospectus supplement and the accompanying prospectus must inform themselves about, and observe any restrictions relating to, the offering of our ordinary shares and the distribution of this prospectus supplement and the accompanying prospectus supplement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prospectus supplement, the accompanying prospectus and the information incorporated herein and therein by reference include trademarks, servicemarks and tradenames owned by us or other companies. All trademarks, servicemarks and tradenames included or incorporated by reference in this prospectus supplement or the accompanying prospectus are the property of their respective owners.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16" w:name="tocb161734_2"/>
      <w:bookmarkEnd w:id="16"/>
      <w:r>
        <w:rPr>
          <w:rFonts w:ascii="Times New Roman" w:hAnsi="Times New Roman"/>
          <w:b/>
          <w:sz w:val="20"/>
          <w:bdr w:val="single" w:sz="8" w:space="1" w:color="000000"/>
        </w:rPr>
        <w:t>PROSPECTUS SUPPLEMENT SUMMARY</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This summary highlights selected information and does not contain all of the information that you should consider before deciding to invest in our ordinary shares. You should read the entire prospectus supplement, including the information incorporated by reference herein, the accompanying prospectus and any related free writing prospectus, carefully, including the section titled “Risk Factors” contained in this prospectus supplement, the accompanying prospectus and any related free writing prospectus, and under similar headings in the other documents that are incorporated by reference into this prospectus supplement, and our financial statements and notes thereto included in our most recent Annual Report on Form 10-K, which are incorporated by reference herein, before making an investment decision. Some of the statements in this summary constitute forward-looking statements, see “Special Note Regarding Forward-Looking Statements.” In this prospectus supplement, unless the context requires otherwise, references to “we,” “us,” “our,” “Damora” or the “Company” refer to Damora Therapeutics, Inc. and, where appropriate, its consolidated subsidiaries.</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All references to “our product candidates,” “our programs” and “our pipeline” in this prospectus supplement include the research programs with respect to which we have the option to acquire intellectual property license rights to pursuant to that certain antibody discovery and option agreement by and among Damora Therapeutics, Inc. (“Damora”), Paragon Therapeutics, Inc. (“Paragon”) and Paramora Holding LLC (“Paramora”), dated October 7, 2025 (the “Paragon Option Agreement”), which we assumed pursuant to our acquisition of Damora (the “Asset Acquisition”). As of the date of this prospectus supplement, we have exercised the options for DMR-001 and DMR-002. We have not exercised the options for DMR-003 or DMR-004 or entered into a license agreement for DMR-001, DMR-002, DMR-003, or DMR-004. We expect to enter into a single definitive license agreement for DMR-001 and DMR-002 in the third quarter of 2026.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Our Company</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biopharmaceutical company developing therapies for the treatment of hematologic disorders. We currently have three product candidates designed to treat myeloproliferative neoplasms (“MPNs”), a group of related, chronic disorders of the bone marrow, the first of which recently received approval to begin a Phase 1/1b clinical trial.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These candidates leverage multiple distinct antibody mechanisms to target mutCALR, and together have the potential to address the full spectrum of patients with mutCALR-driven MPNs, regardless of mutation type, disease subtype or disease severity. Combined with proprietary antibody design features enabling high potency across CALR mutation types, we believe each asset profile has best-in-class potential. Our portfolio of mutCALR targeted therapies includes: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DMR-001</w:t>
            </w:r>
            <w:r>
              <w:rPr>
                <w:rFonts w:ascii="Times New Roman" w:hAnsi="Times New Roman"/>
                <w:sz w:val="20"/>
              </w:rPr>
              <w:t xml:space="preserve">, an Fc-null antibody designed to block mutCALR-mediated oncogenic signaling, without engaging the immune system’s effector functions.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DMR-002</w:t>
            </w:r>
            <w:r>
              <w:rPr>
                <w:rFonts w:ascii="Times New Roman" w:hAnsi="Times New Roman"/>
                <w:sz w:val="20"/>
              </w:rPr>
              <w:t xml:space="preserve">, an afucosylated antibody designed to enhance antibody-dependent cellular cytotoxicity and amplify natural immune killing of malignant cells.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DMR-003</w:t>
            </w:r>
            <w:r>
              <w:rPr>
                <w:rFonts w:ascii="Times New Roman" w:hAnsi="Times New Roman"/>
                <w:sz w:val="20"/>
              </w:rPr>
              <w:t xml:space="preserve">, a bi-specific T-cell engager antibody designed to recruit and direct T-cell-mediated killing of malignant cells.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Both DMR-001 and DMR-002 were designed to have an extended half-life supporting convenient once-monthly subcutaneous administration.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Beginning with our lead asset DMR-001, we are developing these candidates for the treatment of essential thrombocythemia (“ET”), an MPN associated with the overproduction of platelets, and myelofibrosis (“MF”), an MPN involving the overproliferation of blood cells and deposition of fibrous material in the bone marrow and spleen. Approximately 25% and 35% of cases of ET and MF, respectively, are caused by mutCALR rather than mutations in Janus-associated kinase 2 (“JAK2”). In contrast to marketed therapies for ET and MF, DMR-001 is designed to selectively target cells that express mutCALR while avoiding the adverse effects associated with non-specific cytoreductive drugs. Furthermore, DMR-001 was designed to have increased affinity, potency and a prolonged half-life when compared with other antibodies in development that target mutCALR. We believe that DMR-001’s potential to combine increased clinical activity against all mutCALR subtypes and improved pharmacokinetics enabling optimized subcutaneous administration position it as a potential best-in-class therapy for patients with ET and MF.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MPNs are caused by excessive proliferation of myeloid cells. In some patients, including ET patients, MPNs are considered chronic diseases that lead to significant decreases in quality of life. MPNs also include MF, which is associated with poor prognosis and increased mortality. One feature that makes MPNs attractive indications for drug development is that mutations in just a small number of genes are responsible for a significant percentage of cases, which enables the opportunity to develop targeted therapies. Our goal is to develop a portfolio of targeted mutation-directed candidates to address the full spectrum of patients with mutCALR-driven MPNs.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recently initiated our Phase 1/1b trial of DMR-001 in ET and MF patients, with receipt of health authority approval in the first country. We plan to complete additional regulatory submissions for DMR-001 in the second half of 2026 to expand the Phase 1/1b trial globally and enable two proof-of-concept readouts beginning mid-2027. In parallel to advancing DMR-001, we plan to make our first regulatory submission for DMR-002 in the second half of 2026 and for DMR-003 in 2027.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July 16, 2026, we changed our jurisdiction of incorporation from the State of Delaware to the Cayman Islands (the “Redomestication”). The Redomestication was effected pursuant to a plan of conversion and was approved by our shareholders as described in our definitive proxy statement filed with the SEC on December 31, 2025. In the Redomestication, Damora Therapeutics, Inc., a Delaware corporation (“Damora Delaware”), discontinued its existence as a corporation under Section 266 of the Delaware General Corporation Law and, pursuant to Part 12 of the Companies Act (as amended) of the Cayman Islands, continued its existence as a Cayman Islands exempted company limited by shares (“Damora Cayman”). Our business, assets and liabilities, principal place of business, fiscal year, and directors and executive officers were the same immediately after the Redomestication as they were immediately prior to the Redomestication.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a result of and upon the effective time of the Redomestication, among other things, (i) each share of common stock, par value $0.00001 per share, of Damora Delaware (the “Damora Delaware Common Stock”) issued and outstanding immediately prior to the Redomestication converted, on a one-for-one basis, into a duly authorized, validly issued, fully paid and nonassessable ordinary share, par value $0.00001 per share, of Damora Cayman (a “Damora Cayman Ordinary Share”), (ii) each share of Series A Non-Voting Convertible Preferred Stock, par value $0.00001 per share, of Damora Delaware issued and outstanding immediately prior to the Redomestication converted, on a one-for-one basis, into a duly authorized, validly issued, fully paid and nonassessable Series A Non-Voting Convertible Preferred Share, par value $0.00001 per share, of Damora Cayman (“Series A Preferred Shares”), (iii) each share of Series B Non-Voting Convertible Preferred Stock, par value $0.00001 per share, of Damora Delaware issued and outstanding immediately prior to the Redomestication converted, on a one-for-one basis, into a duly authorized, validly issued, fully paid and nonassessable Series B Non-Voting Convertible Preferred Share, par value $0.00001 per share, of Damora Cayman (“Series B Preferred Shares”), (iv) each share of Series C Non-Voting Convertible Preferred Stock, par value $0.00001 per share, of Damora Delaware issued and outstanding immediately prior to the Redomestication converted, on a one-for-one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basis, into a duly authorized, validly issued, fully paid and nonassessable Series C Non-Voting Convertible Preferred Share, par value $0.00001 per share, of Damora Cayman (“Series C Preferred Shares”), (v) each option to purchase Damora Delaware Common Stock issued and outstanding immediately prior to the Redomestication converted, on a one-for-one basis, into a duly authorized and validly issued option to purchase Damora Cayman Ordinary Shares, (vi) each restricted stock unit of Damora Delaware issued and outstanding immediately prior to the Redomestication converted, on a one-for-one basis, into a duly authorized and validly issued restricted stock unit of Damora Cayman, and (vii) each warrant to purchase shares of Damora Delaware Common Stock issued and outstanding immediately prior to the Redomestication converted, on a one-for-one basis, into a duly authorized and validly issued warrant to purchase Damora Cayman Ordinary Shares.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ordinary shares continue to be listed on the Nasdaq Capital Market under the symbol “DMRA.” The rights of holders of our ordinary shares are now governed by Damora Cayman’s memorandum and articles of association and Cayman Islands law.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the purposes of this prospectus supplement, references to the “Company”, the “Registrant”, “we”, “our”, “us” and similar terms mean, as of any time prior to the Redomestication, Damora Delaware, and, as of any time after the Redomestication, Damora Cayman. Unless otherwise indicated, all references in this prospectus supplement to our ordinary shares or preferred shares, and all share and per share amounts, including as of or for periods on or prior to the effective date of the Redomestication, give effect to the Redomestication.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Corporate Information</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founded as Galecto Biotech AB, a Swedish company, in 2011 and incorporated in Delaware as Galecto, Inc. in October 2019. On November 10, 2025, we completed the Asset Acquisition. On March 6, 2026, we changed the name of the Company from “Galecto, Inc.” to “Damora Therapeutics, Inc.” On July 16, 2026, we changed our jurisdiction of incorporation from the State of Delaware to the Cayman Islands, becoming a Cayman Islands exempted company.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offices are located at 221 Crescent Street, Building 23, Suite 105, Waltham, Massachusetts 02453, and our telephone number is (781) 281-9020. Our website address is www.damoratx.com. The information contained on, or that can be accessed through, our website is not part of, and is not incorporated by reference into, this prospectus supplement. We have included our website address in this prospectus supplement solely as an inactive textual reference. Investors should not rely on any such information in deciding whether to purchase our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17" w:name="tocb161734_3"/>
      <w:bookmarkEnd w:id="17"/>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Ordinary shares offered by us</w:t>
            </w:r>
          </w:p>
        </w:tc>
        <w:tc>
          <w:tcPr>
            <w:tcW w:w="6329" w:type="dxa"/>
            <w:tcBorders/>
          </w:tcPr>
          <w:p>
            <w:pPr>
              <w:pStyle w:val="TableContents"/>
              <w:bidi w:val="0"/>
              <w:spacing w:before="0" w:after="283"/>
              <w:jc w:val="left"/>
              <w:rPr/>
            </w:pPr>
            <w:r>
              <w:rPr/>
              <w:t xml:space="preserve">Our ordinary shares having an aggregate offering price of up to $120,031,936.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Ordinary shares to be outstanding after this </w:t>
              <w:br/>
              <w:t>offering</w:t>
            </w:r>
          </w:p>
        </w:tc>
        <w:tc>
          <w:tcPr>
            <w:tcW w:w="6329" w:type="dxa"/>
            <w:tcBorders/>
          </w:tcPr>
          <w:p>
            <w:pPr>
              <w:pStyle w:val="TableContents"/>
              <w:bidi w:val="0"/>
              <w:spacing w:before="0" w:after="283"/>
              <w:jc w:val="left"/>
              <w:rPr/>
            </w:pPr>
            <w:r>
              <w:rPr/>
              <w:t xml:space="preserve">Up to 65,746,364 ordinary shares, assuming sales of 4,011,763 ordinary shares in this offering at an assumed offering price of $29.92 per share, which was the last reported sale price of our ordinary shares on the Nasdaq Capital Market on August 7, 2026. The actual number of ordinary shares issued will vary depending on the sales prices at which our ordinary shares are sold under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Plan of Distribution</w:t>
            </w:r>
          </w:p>
        </w:tc>
        <w:tc>
          <w:tcPr>
            <w:tcW w:w="6328" w:type="dxa"/>
            <w:tcBorders/>
          </w:tcPr>
          <w:p>
            <w:pPr>
              <w:pStyle w:val="TableContents"/>
              <w:bidi w:val="0"/>
              <w:spacing w:before="0" w:after="283"/>
              <w:jc w:val="left"/>
              <w:rPr/>
            </w:pPr>
            <w:r>
              <w:rPr/>
              <w:t>“</w:t>
            </w:r>
            <w:r>
              <w:rPr/>
              <w:t xml:space="preserve">At the market offering” that may be made from time to time through TD Cowen. See “Plan of Distribution” on page S-14 of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Use of Proceeds</w:t>
            </w:r>
          </w:p>
        </w:tc>
        <w:tc>
          <w:tcPr>
            <w:tcW w:w="6328" w:type="dxa"/>
            <w:tcBorders/>
          </w:tcPr>
          <w:p>
            <w:pPr>
              <w:pStyle w:val="TableContents"/>
              <w:bidi w:val="0"/>
              <w:spacing w:before="0" w:after="283"/>
              <w:jc w:val="left"/>
              <w:rPr/>
            </w:pPr>
            <w:r>
              <w:rPr/>
              <w:t xml:space="preserve">We currently intend to use the net proceeds from this offering, if any, for preclinical studies, clinical trials, and manufacturing in support of our antibody programs, as well as for additional research and development activities, working capital, and general corporate purposes. See “Use of Proceeds” on page S-11 of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Risk Factors</w:t>
            </w:r>
          </w:p>
        </w:tc>
        <w:tc>
          <w:tcPr>
            <w:tcW w:w="6327" w:type="dxa"/>
            <w:tcBorders/>
          </w:tcPr>
          <w:p>
            <w:pPr>
              <w:pStyle w:val="TableContents"/>
              <w:bidi w:val="0"/>
              <w:spacing w:before="0" w:after="283"/>
              <w:jc w:val="left"/>
              <w:rPr/>
            </w:pPr>
            <w:r>
              <w:rPr/>
              <w:t xml:space="preserve">You should read the “Risk Factors” section of this prospectus supplement and the accompanying prospectus and in the documents incorporated by reference into this prospectus supplement for a discussion of factors you should carefully consider before deciding to purchase our ordinary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b/>
                <w:sz w:val="20"/>
              </w:rPr>
            </w:pPr>
            <w:r>
              <w:rPr>
                <w:rFonts w:ascii="Times New Roman" w:hAnsi="Times New Roman"/>
                <w:b/>
                <w:sz w:val="20"/>
              </w:rPr>
              <w:t>Nasdaq Capital Market symbol</w:t>
            </w:r>
          </w:p>
        </w:tc>
        <w:tc>
          <w:tcPr>
            <w:tcW w:w="6326" w:type="dxa"/>
            <w:tcBorders/>
          </w:tcPr>
          <w:p>
            <w:pPr>
              <w:pStyle w:val="TableContents"/>
              <w:bidi w:val="0"/>
              <w:spacing w:before="0" w:after="283"/>
              <w:jc w:val="left"/>
              <w:rPr/>
            </w:pPr>
            <w:r>
              <w:rPr/>
              <w:t>“</w:t>
            </w:r>
            <w:r>
              <w:rPr/>
              <w:t xml:space="preserve">DMRA”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our ordinary shares to be outstanding after this offering is based on 61,734,601 ordinary shares outstanding as of June 30, 2026, and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16,366,000 ordinary shares issuable upon the conversion of 16,366 Series B Preferred Shares outstanding as of June 30,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1,722,000 ordinary shares issuable upon the conversion of 1,722 Series C Preferred Shares outstanding as of June 30,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4,542,351 ordinary shares issuable upon the exercise of options outstanding as of June 30, 2026 at a weighted-average exercise price of $23.47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956,787 ordinary shares issuable upon the vesting of restricted stock units outstanding as of June 30,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628,302 ordinary shares issuable upon the exercise of Paramora warrants outstanding as of June 30, 2026, at an exercise price of $23.01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8,705,367 ordinary shares available for issuance under the Damora Therapeutics, Inc. 2026 Equity Incentive Plan (the “2026 Equity Incentive Plan”) as of June 30,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619,989 ordinary shares reserved for issuance under the Damora Therapeutics, Inc. 2026 Employee Stock Purchase Plan (the “2026 Employee Stock Purchase Plan”) as of June 30, 2026;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3,602,447 ordinary shares available for issuance under the Damora Therapeutics, Inc. 2022 Inducement Plan (the “2022 Inducement Plan”) as of June 30, 2026.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Except as otherwise indicated, all information in this prospectus supplement assumes no exercise of outstanding options or warrants, no vesting of restricted stock units, and no conversion of preferred shares after June 30,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ocb161734_4"/>
      <w:bookmarkEnd w:id="18"/>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Investing in our ordinary shares involves a high degree of risk. Before deciding whether to invest in our ordinary shares, you should consider carefully the risks and uncertainties described below and discussed under the heading “Risk Factors” contained in the accompanying prospectus, in our most recent Annual Report on Form 10-K, and in our subsequent Quarterly Reports on Form 10-Q, as well as any amendments thereto reflected in subsequent filings with the SEC, which are incorporated by reference into this prospectus supplement in their entirety, together with other information in this prospectus supplement, the accompanying prospectus, the documents incorporated by reference and any free writing prospectus that we may authorize for use in connection with this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ordinary shares to decline, resulting in a loss of all or part of your investment. Please also read carefully the section below titled “Special Note Regarding Forward-Looking Statements.”</w:t>
      </w:r>
    </w:p>
    <w:p>
      <w:pPr>
        <w:pStyle w:val="TextBody"/>
        <w:bidi w:val="0"/>
        <w:spacing w:before="360" w:after="0"/>
        <w:jc w:val="left"/>
        <w:rPr>
          <w:rFonts w:ascii="Times New Roman" w:hAnsi="Times New Roman"/>
          <w:b/>
          <w:sz w:val="20"/>
        </w:rPr>
      </w:pPr>
      <w:r>
        <w:rPr>
          <w:rFonts w:ascii="Times New Roman" w:hAnsi="Times New Roman"/>
          <w:b/>
          <w:sz w:val="20"/>
        </w:rPr>
        <w:t>Additional Risks Related to This Offering</w:t>
      </w:r>
    </w:p>
    <w:p>
      <w:pPr>
        <w:pStyle w:val="TextBody"/>
        <w:bidi w:val="0"/>
        <w:spacing w:before="120" w:after="0"/>
        <w:jc w:val="left"/>
        <w:rPr>
          <w:rFonts w:ascii="Times New Roman" w:hAnsi="Times New Roman"/>
          <w:b/>
          <w:sz w:val="20"/>
        </w:rPr>
      </w:pPr>
      <w:r>
        <w:rPr>
          <w:rFonts w:ascii="Times New Roman" w:hAnsi="Times New Roman"/>
          <w:b/>
          <w:sz w:val="20"/>
        </w:rPr>
        <w:t>Management will have broad discretion as to the use of the proceeds from this offering, and may not use the proceeds effectively.</w:t>
      </w:r>
    </w:p>
    <w:p>
      <w:pPr>
        <w:pStyle w:val="TextBody"/>
        <w:bidi w:val="0"/>
        <w:spacing w:before="120" w:after="0"/>
        <w:jc w:val="left"/>
        <w:rPr>
          <w:rFonts w:ascii="Times New Roman" w:hAnsi="Times New Roman"/>
          <w:sz w:val="20"/>
        </w:rPr>
      </w:pPr>
      <w:r>
        <w:rPr>
          <w:rFonts w:ascii="Times New Roman" w:hAnsi="Times New Roman"/>
          <w:sz w:val="20"/>
        </w:rPr>
        <w:t xml:space="preserve">While we currently intend to use the net proceeds from this offering, if any, for preclinical studies, clinical trials, and manufacturing in support of our antibody programs, as well as for additional research and development activities, working capital, and general corporate purposes, because we have not designated the amount of net proceeds from this offering to be used for any particular purpose, our management will have broad discretion as to the application of the net proceeds from this offering and could use them for purposes other than those contemplated at the time of the offering. Our management may use the net proceeds for corporate purposes that may not improve our financial condition or market value. </w:t>
      </w:r>
    </w:p>
    <w:p>
      <w:pPr>
        <w:pStyle w:val="TextBody"/>
        <w:bidi w:val="0"/>
        <w:spacing w:before="360" w:after="0"/>
        <w:jc w:val="left"/>
        <w:rPr>
          <w:rFonts w:ascii="Times New Roman" w:hAnsi="Times New Roman"/>
          <w:b/>
          <w:sz w:val="20"/>
        </w:rPr>
      </w:pPr>
      <w:r>
        <w:rPr>
          <w:rFonts w:ascii="Times New Roman" w:hAnsi="Times New Roman"/>
          <w:b/>
          <w:sz w:val="20"/>
        </w:rPr>
        <w:t>You may experience immediate and substantial dilution.</w:t>
      </w:r>
    </w:p>
    <w:p>
      <w:pPr>
        <w:pStyle w:val="TextBody"/>
        <w:bidi w:val="0"/>
        <w:spacing w:before="120" w:after="0"/>
        <w:jc w:val="left"/>
        <w:rPr>
          <w:rFonts w:ascii="Times New Roman" w:hAnsi="Times New Roman"/>
          <w:sz w:val="20"/>
        </w:rPr>
      </w:pPr>
      <w:r>
        <w:rPr>
          <w:rFonts w:ascii="Times New Roman" w:hAnsi="Times New Roman"/>
          <w:sz w:val="20"/>
        </w:rPr>
        <w:t xml:space="preserve">The offering price per share in this offering may exceed the net tangible book value per share of our ordinary shares outstanding prior to this offering. Assuming that 4,011,763 ordinary shares are sold in this offering, based on an assumed sale price of $29.92 per share, the last reported sale price of our ordinary shares on the Nasdaq Capital Market on August 7, 2026, you will experience immediate dilution, representing the difference between the price you pay and our as-adjusted net tangible book value per ordinary share as of June 30, 2026, after giving effect to this offering, of $20.30 per share. The exercise of outstanding stock options may result in further dilution of your investment. See the section titled “Dilution” below for a more detailed illustration of the dilution you would incur if you participate in this offering. </w:t>
      </w:r>
    </w:p>
    <w:p>
      <w:pPr>
        <w:pStyle w:val="TextBody"/>
        <w:bidi w:val="0"/>
        <w:spacing w:before="360" w:after="0"/>
        <w:jc w:val="left"/>
        <w:rPr>
          <w:rFonts w:ascii="Times New Roman" w:hAnsi="Times New Roman"/>
          <w:b/>
          <w:sz w:val="20"/>
        </w:rPr>
      </w:pPr>
      <w:r>
        <w:rPr>
          <w:rFonts w:ascii="Times New Roman" w:hAnsi="Times New Roman"/>
          <w:b/>
          <w:sz w:val="20"/>
        </w:rPr>
        <w:t>You may experience future dilution as a result of future equity offerings.</w:t>
      </w:r>
    </w:p>
    <w:p>
      <w:pPr>
        <w:pStyle w:val="TextBody"/>
        <w:bidi w:val="0"/>
        <w:spacing w:before="120" w:after="0"/>
        <w:jc w:val="left"/>
        <w:rPr>
          <w:rFonts w:ascii="Times New Roman" w:hAnsi="Times New Roman"/>
          <w:sz w:val="20"/>
        </w:rPr>
      </w:pPr>
      <w:r>
        <w:rPr>
          <w:rFonts w:ascii="Times New Roman" w:hAnsi="Times New Roman"/>
          <w:sz w:val="20"/>
        </w:rPr>
        <w:t xml:space="preserve">To raise additional capital, we may in the future offer additional ordinary shares or other securities convertible into or exchangeable for our ordinary shares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shareholders. The price per share at which we sell additional ordinary shares, or securities convertible or exchangeable into ordinary shares, in future transactions may be higher or lower than the price per share paid by investors in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It is not possible to predict the aggregate proceeds resulting from sales made under the Sales Agreement.</w:t>
      </w:r>
    </w:p>
    <w:p>
      <w:pPr>
        <w:pStyle w:val="TextBody"/>
        <w:bidi w:val="0"/>
        <w:spacing w:before="120" w:after="0"/>
        <w:jc w:val="left"/>
        <w:rPr>
          <w:rFonts w:ascii="Times New Roman" w:hAnsi="Times New Roman"/>
          <w:sz w:val="20"/>
        </w:rPr>
      </w:pPr>
      <w:r>
        <w:rPr>
          <w:rFonts w:ascii="Times New Roman" w:hAnsi="Times New Roman"/>
          <w:sz w:val="20"/>
        </w:rPr>
        <w:t xml:space="preserve">Subject to certain limitations in the Sales Agreement and compliance with applicable law, we have the discretion to deliver placement notices to TD Cowen at any time throughout the term of the Sales Agreement. The number of shares that are sold through TD Cowen after delivering a placement notice will fluctuate based on a number of factors, including the market price of our ordinary shares during the sales period, any limits we may set with TD Cowen in any applicable placement notice and the demand for our ordinary shares. Because the price per share of each share sold pursuant to the Sales Agreement will fluctuate over time, it is not currently possible to predict the aggregate proceeds to be raised in connection with sales under the Sales Agreement. </w:t>
      </w:r>
    </w:p>
    <w:p>
      <w:pPr>
        <w:pStyle w:val="TextBody"/>
        <w:bidi w:val="0"/>
        <w:spacing w:before="360" w:after="0"/>
        <w:jc w:val="left"/>
        <w:rPr>
          <w:rFonts w:ascii="Times New Roman" w:hAnsi="Times New Roman"/>
          <w:b/>
          <w:sz w:val="20"/>
        </w:rPr>
      </w:pPr>
      <w:r>
        <w:rPr>
          <w:rFonts w:ascii="Times New Roman" w:hAnsi="Times New Roman"/>
          <w:b/>
          <w:sz w:val="20"/>
        </w:rPr>
        <w:t>Sales of ordinary shares offered hereby will be in “at the market offerings,” and investors who buy shares at different times will likely pay different prices.</w:t>
      </w:r>
    </w:p>
    <w:p>
      <w:pPr>
        <w:pStyle w:val="TextBody"/>
        <w:bidi w:val="0"/>
        <w:spacing w:before="120" w:after="0"/>
        <w:jc w:val="left"/>
        <w:rPr>
          <w:rFonts w:ascii="Times New Roman" w:hAnsi="Times New Roman"/>
          <w:sz w:val="20"/>
        </w:rPr>
      </w:pPr>
      <w:r>
        <w:rPr>
          <w:rFonts w:ascii="Times New Roman" w:hAnsi="Times New Roman"/>
          <w:sz w:val="20"/>
        </w:rPr>
        <w:t xml:space="preserve">Investors who purchase shares in this offering at different times will likely pay different prices, and accordingly may experience different levels of dilution and different outcomes in their investment results. We will have discretion, subject to market demand, to vary the timing, prices and number of shares sold in this offering. In addition, subject to the final determination by our board of directors or any restrictions we may place in any applicable placement notice delivered to TD Cowen, there is no minimum or maximum sales price for shares to be sold in this offering. Investors may experience a decline in the value of the shares they purchase in this offering as a result of sales made at prices lower than the prices they paid.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ocb161734_5"/>
      <w:bookmarkEnd w:id="19"/>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including the documents that we incorporate by reference, contains “forward-looking statements” within the meaning of Section 27A of the Securities Act and Section 21E of the Securities Exchange Act of 1934, as amended (the “Exchange Act”). These forward-looking statements involve a number of risks and uncertainties. We caution readers that any forward-looking statement is not a guarantee of future performance and that actual results could differ materially from those contained in the forward-looking statement. These statements are based on current expectations of future events. </w:t>
      </w:r>
    </w:p>
    <w:p>
      <w:pPr>
        <w:pStyle w:val="TextBody"/>
        <w:bidi w:val="0"/>
        <w:spacing w:before="240" w:after="0"/>
        <w:jc w:val="left"/>
        <w:rPr>
          <w:rFonts w:ascii="Times New Roman" w:hAnsi="Times New Roman"/>
          <w:sz w:val="20"/>
        </w:rPr>
      </w:pPr>
      <w:r>
        <w:rPr>
          <w:rFonts w:ascii="Times New Roman" w:hAnsi="Times New Roman"/>
          <w:sz w:val="20"/>
        </w:rPr>
        <w:t xml:space="preserve">All statements, other than statements of historical facts contained in this prospectus supplement and the accompanying prospectus, including, without limitation, statements regarding: our ability to achieve the expected benefits or opportunities and related timing with respect to the Asset Acquisition of Damora, our future results of operations and financial position, business strategy, the length of time that we believe our existing cash resources will fund our operations, our market size, our potential growth opportunities, our preclinical and future clinical development activities, the efficacy and safety profile of our product candidates, the potential therapeutic benefits and economic value of our product candidates, the timing and results of preclinical studies and clinical trials, the expected impact of adverse macroeconomic conditions, including inflation, slower growth or recession, new or increased tariffs and other barriers to trade, changes to fiscal and monetary policy or government budget dynamics (particularly in the pharmaceutical and biotech areas), volatility in financial markets and other challenges in the global economy, the receipt and timing of potential regulatory designations, approvals and commercialization of product candidates, and our anticipated use of the net proceeds from this offering. Forward-looking statements generally relate to future events or our future financial or operating performance. The words “believe,” “may,” “will,” “potentially,” “estimate,” “continue,” “anticipate,” “predict,” “target,” “intend,” “could,” “would,” “should,” “project,” “plan,” “expect,” and similar expressions that convey uncertainty of future events or outcomes are intended to identify forward-looking statements, although not all forward-looking statements contain these identifying words.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subject to a number of risks, uncertainties and assumptions.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Factors that might cause such a difference include those referred to under the section titled “Risk Factors” in this prospectus supplement and the accompanying prospectus and discussed in our most recent Annual Report on Form 10-K, as supplemented and updated by subsequent Quarterly Reports on Form 10-Q and Current Reports on Form 8-K that we have filed or will file with the SEC, and in other documents which are incorporated by reference into this prospectus supplement and the accompanying prospectus. You are cautioned not to place undue reliance on these forward-looking statements, which speak only as of the date of this prospectus supplement or, in the case of documents referred to or incorporated by reference, the date of those documents.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statements that “we believe” and similar statements reflect our beliefs and opinions on the relevant subject. These statements are based on information available to us as of the date of this prospectus supplement.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 </w:t>
      </w:r>
    </w:p>
    <w:p>
      <w:pPr>
        <w:pStyle w:val="TextBody"/>
        <w:bidi w:val="0"/>
        <w:spacing w:before="240" w:after="0"/>
        <w:jc w:val="left"/>
        <w:rPr>
          <w:rFonts w:ascii="Times New Roman" w:hAnsi="Times New Roman"/>
          <w:sz w:val="20"/>
        </w:rPr>
      </w:pPr>
      <w:r>
        <w:rPr>
          <w:rFonts w:ascii="Times New Roman" w:hAnsi="Times New Roman"/>
          <w:sz w:val="20"/>
        </w:rPr>
        <w:t xml:space="preserve">All subsequent written or oral forward-looking statements attributable to us or any person acting on our behalf are expressly qualified in their entirety by the cautionary statements contained or referred to in this section. We do not undertake any obligation to release publicly any revisions to these forward-looking statements to reflect events or circumstances after the date of this prospectus supplement or to reflect the occurrence of unanticipated events, except as may be required under applicable U.S. securities laws. If we do update one or more forward-looking statements, no inference should be drawn that we will make additional updates with respect to those or other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ocb161734_6"/>
      <w:bookmarkEnd w:id="20"/>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our ordinary shares having an aggregate offering price of up to $120,031,936 from time to time through TD Cowen. Because there is no minimum offering amount required pursuant to the Sales Agreement, the actual total public offering amount, commissions and proceeds to us, if any, are not determinable at this time. Actual net proceeds will depend on the number of shares we sell and the prices at which such sales occur. There can be no assurance that we will sell any shares under or fully utilize the Sales Agreement with TD Cowen as a source of financing. </w:t>
      </w:r>
    </w:p>
    <w:p>
      <w:pPr>
        <w:pStyle w:val="TextBody"/>
        <w:bidi w:val="0"/>
        <w:spacing w:before="240" w:after="0"/>
        <w:jc w:val="left"/>
        <w:rPr>
          <w:rFonts w:ascii="Times New Roman" w:hAnsi="Times New Roman"/>
          <w:sz w:val="20"/>
        </w:rPr>
      </w:pPr>
      <w:r>
        <w:rPr>
          <w:rFonts w:ascii="Times New Roman" w:hAnsi="Times New Roman"/>
          <w:sz w:val="20"/>
        </w:rPr>
        <w:t xml:space="preserve">We currently intend to use the net proceeds from this offering, if any, for preclinical studies, clinical trials, and manufacturing in support of our antibody programs, as well as for additional research and development activities, working capital, and general corporate purposes. We may also use a portion of the proceeds to license, acquire or invest in complementary businesses, technology, products or assets, however, we have no current commitments to do so. </w:t>
      </w:r>
    </w:p>
    <w:p>
      <w:pPr>
        <w:pStyle w:val="TextBody"/>
        <w:bidi w:val="0"/>
        <w:spacing w:before="240" w:after="0"/>
        <w:jc w:val="left"/>
        <w:rPr>
          <w:rFonts w:ascii="Times New Roman" w:hAnsi="Times New Roman"/>
          <w:sz w:val="20"/>
        </w:rPr>
      </w:pPr>
      <w:r>
        <w:rPr>
          <w:rFonts w:ascii="Times New Roman" w:hAnsi="Times New Roman"/>
          <w:sz w:val="20"/>
        </w:rPr>
        <w:t xml:space="preserve">The amounts and timing of our use of the net proceeds from this offering will depend on a number of factors, such as the timing and progress of our research, development and manufacturing efforts, the timing and progress of any commercialization and partnering efforts, technological advances and the competitive environment for our products. As of the date of this prospectus supplement, we cannot specify with certainty all of the particular uses for the net proceeds to us from the sale of the securities offered by us hereunder. Accordingly, our management will have broad discretion in the timing and application of these proceeds. Pending application of the net proceeds as described above, we intend to invest the proceeds in a variety of capital preservation investments, including interest-bearing, investment-grade securities, certificates of deposit or government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ocb161734_7"/>
      <w:bookmarkEnd w:id="21"/>
      <w:r>
        <w:rPr>
          <w:rFonts w:ascii="Times New Roman" w:hAnsi="Times New Roman"/>
          <w:b/>
          <w:sz w:val="20"/>
        </w:rPr>
        <w:t xml:space="preserve">DILUTION </w:t>
      </w:r>
    </w:p>
    <w:p>
      <w:pPr>
        <w:pStyle w:val="TextBody"/>
        <w:bidi w:val="0"/>
        <w:spacing w:before="240" w:after="0"/>
        <w:jc w:val="left"/>
        <w:rPr>
          <w:rFonts w:ascii="Times New Roman" w:hAnsi="Times New Roman"/>
          <w:sz w:val="20"/>
        </w:rPr>
      </w:pPr>
      <w:r>
        <w:rPr>
          <w:rFonts w:ascii="Times New Roman" w:hAnsi="Times New Roman"/>
          <w:sz w:val="20"/>
        </w:rPr>
        <w:t xml:space="preserve">If you purchase ordinary shares in this offering, your ownership interest will be immediately diluted to the extent of the difference between the purchase price per ordinary share and the as-adjusted net tangible book value per ordinary share immediately after giving effect to this offering. Our net tangible book value as of June 30, 2026 was $516.1 million, or $8.36 per ordinary share. Our net tangible book value is the amount of our total tangible assets less our total liabilities. Net tangible book value per ordinary share represents net tangible book value divided by 61,734,601 ordinary shares outstanding as of June 30, 2026. </w:t>
      </w:r>
    </w:p>
    <w:p>
      <w:pPr>
        <w:pStyle w:val="TextBody"/>
        <w:bidi w:val="0"/>
        <w:spacing w:before="240" w:after="0"/>
        <w:jc w:val="left"/>
        <w:rPr>
          <w:rFonts w:ascii="Times New Roman" w:hAnsi="Times New Roman"/>
          <w:sz w:val="20"/>
        </w:rPr>
      </w:pPr>
      <w:r>
        <w:rPr>
          <w:rFonts w:ascii="Times New Roman" w:hAnsi="Times New Roman"/>
          <w:sz w:val="20"/>
        </w:rPr>
        <w:t xml:space="preserve">After giving effect to the assumed sale of 4,011,763 ordinary shares at a sale price of $29.92 per share, the last reported sale price of our ordinary shares on the Nasdaq Capital Market on August 7, 2026, after deducting commissions and estimated aggregate offering expenses payable by us, our as-adjusted net tangible book value as of June 30, 2026 would have been $632.3 million, or approximately $9.62 per ordinary share. This represents an immediate increase in the as-adjusted net tangible book value of $1.26 per ordinary share to our existing shareholders and an immediate dilution of approximately $20.30 per ordinary share to new investors purchasing ordinary shares in this offering. Dilution per share to new investors is determined by subtracting as-adjusted net tangible book value per ordinary share after this offering from the assumed public offering price per share paid by new investors. The following table illustrates this per share dilution: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541"/>
        <w:gridCol w:w="384"/>
        <w:gridCol w:w="145"/>
        <w:gridCol w:w="448"/>
        <w:gridCol w:w="60"/>
        <w:gridCol w:w="384"/>
        <w:gridCol w:w="145"/>
        <w:gridCol w:w="582"/>
        <w:gridCol w:w="66"/>
      </w:tblGrid>
      <w:tr>
        <w:trPr/>
        <w:tc>
          <w:tcPr>
            <w:tcW w:w="5541" w:type="dxa"/>
            <w:tcBorders/>
            <w:vAlign w:val="center"/>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55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Assumed offering price per ordinary share</w:t>
            </w:r>
          </w:p>
        </w:tc>
        <w:tc>
          <w:tcPr>
            <w:tcW w:w="38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4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582" w:type="dxa"/>
            <w:tcBorders/>
            <w:shd w:fill="CCEEFF" w:val="clear"/>
            <w:vAlign w:val="bottom"/>
          </w:tcPr>
          <w:p>
            <w:pPr>
              <w:pStyle w:val="TableContents"/>
              <w:bidi w:val="0"/>
              <w:spacing w:before="0" w:after="283"/>
              <w:jc w:val="right"/>
              <w:rPr/>
            </w:pPr>
            <w:r>
              <w:rPr/>
              <w:t>29.92</w:t>
            </w:r>
          </w:p>
        </w:tc>
        <w:tc>
          <w:tcPr>
            <w:tcW w:w="66" w:type="dxa"/>
            <w:tcBorders/>
            <w:shd w:fill="CCEEFF" w:val="clear"/>
            <w:vAlign w:val="bottom"/>
          </w:tcPr>
          <w:p>
            <w:pPr>
              <w:pStyle w:val="TableContents"/>
              <w:bidi w:val="0"/>
              <w:spacing w:before="0" w:after="283"/>
              <w:jc w:val="left"/>
              <w:rPr/>
            </w:pPr>
            <w:r>
              <w:rPr/>
              <w:t> </w:t>
            </w:r>
          </w:p>
        </w:tc>
      </w:tr>
      <w:tr>
        <w:trPr/>
        <w:tc>
          <w:tcPr>
            <w:tcW w:w="5541" w:type="dxa"/>
            <w:tcBorders/>
          </w:tcPr>
          <w:p>
            <w:pPr>
              <w:pStyle w:val="TableContents"/>
              <w:bidi w:val="0"/>
              <w:spacing w:before="0" w:after="0"/>
              <w:jc w:val="left"/>
              <w:rPr>
                <w:rFonts w:ascii="Times New Roman" w:hAnsi="Times New Roman"/>
                <w:sz w:val="20"/>
              </w:rPr>
            </w:pPr>
            <w:r>
              <w:rPr>
                <w:rFonts w:ascii="Times New Roman" w:hAnsi="Times New Roman"/>
                <w:sz w:val="20"/>
              </w:rPr>
              <w:t>Net tangible book value per ordinary share as of June 30, 2026</w:t>
            </w:r>
          </w:p>
        </w:tc>
        <w:tc>
          <w:tcPr>
            <w:tcW w:w="38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448" w:type="dxa"/>
            <w:tcBorders/>
            <w:vAlign w:val="bottom"/>
          </w:tcPr>
          <w:p>
            <w:pPr>
              <w:pStyle w:val="TableContents"/>
              <w:bidi w:val="0"/>
              <w:spacing w:before="0" w:after="283"/>
              <w:jc w:val="right"/>
              <w:rPr/>
            </w:pPr>
            <w:r>
              <w:rPr/>
              <w:t>8.36</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582"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55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net tangible book value per ordinary share attributable to new investors in this offering</w:t>
            </w:r>
          </w:p>
        </w:tc>
        <w:tc>
          <w:tcPr>
            <w:tcW w:w="38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448" w:type="dxa"/>
            <w:tcBorders/>
            <w:shd w:fill="CCEEFF" w:val="clear"/>
            <w:vAlign w:val="bottom"/>
          </w:tcPr>
          <w:p>
            <w:pPr>
              <w:pStyle w:val="TableContents"/>
              <w:bidi w:val="0"/>
              <w:spacing w:before="0" w:after="283"/>
              <w:jc w:val="right"/>
              <w:rPr/>
            </w:pPr>
            <w:r>
              <w:rPr/>
              <w:t>1.26</w:t>
            </w:r>
          </w:p>
        </w:tc>
        <w:tc>
          <w:tcPr>
            <w:tcW w:w="60"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582"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5541"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44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582"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5541" w:type="dxa"/>
            <w:tcBorders/>
          </w:tcPr>
          <w:p>
            <w:pPr>
              <w:pStyle w:val="TableContents"/>
              <w:bidi w:val="0"/>
              <w:spacing w:before="0" w:after="0"/>
              <w:jc w:val="left"/>
              <w:rPr>
                <w:rFonts w:ascii="Times New Roman" w:hAnsi="Times New Roman"/>
                <w:sz w:val="20"/>
              </w:rPr>
            </w:pPr>
            <w:r>
              <w:rPr>
                <w:rFonts w:ascii="Times New Roman" w:hAnsi="Times New Roman"/>
                <w:sz w:val="20"/>
              </w:rPr>
              <w:t>As-adjusted net tangible book value per ordinary share as of June 30, 2026, after giving effect to this offering</w:t>
            </w:r>
          </w:p>
        </w:tc>
        <w:tc>
          <w:tcPr>
            <w:tcW w:w="38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4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582" w:type="dxa"/>
            <w:tcBorders/>
            <w:vAlign w:val="bottom"/>
          </w:tcPr>
          <w:p>
            <w:pPr>
              <w:pStyle w:val="TableContents"/>
              <w:bidi w:val="0"/>
              <w:spacing w:before="0" w:after="283"/>
              <w:jc w:val="right"/>
              <w:rPr/>
            </w:pPr>
            <w:r>
              <w:rPr/>
              <w:t>9.62</w:t>
            </w:r>
          </w:p>
        </w:tc>
        <w:tc>
          <w:tcPr>
            <w:tcW w:w="66" w:type="dxa"/>
            <w:tcBorders/>
            <w:vAlign w:val="bottom"/>
          </w:tcPr>
          <w:p>
            <w:pPr>
              <w:pStyle w:val="TableContents"/>
              <w:bidi w:val="0"/>
              <w:spacing w:before="0" w:after="283"/>
              <w:jc w:val="left"/>
              <w:rPr/>
            </w:pPr>
            <w:r>
              <w:rPr/>
              <w:t> </w:t>
            </w:r>
          </w:p>
        </w:tc>
      </w:tr>
      <w:tr>
        <w:trPr/>
        <w:tc>
          <w:tcPr>
            <w:tcW w:w="5541"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4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582"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55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per share to new investors in this offering</w:t>
            </w:r>
          </w:p>
        </w:tc>
        <w:tc>
          <w:tcPr>
            <w:tcW w:w="38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4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582" w:type="dxa"/>
            <w:tcBorders/>
            <w:shd w:fill="CCEEFF" w:val="clear"/>
            <w:vAlign w:val="bottom"/>
          </w:tcPr>
          <w:p>
            <w:pPr>
              <w:pStyle w:val="TableContents"/>
              <w:bidi w:val="0"/>
              <w:spacing w:before="0" w:after="283"/>
              <w:jc w:val="right"/>
              <w:rPr/>
            </w:pPr>
            <w:r>
              <w:rPr/>
              <w:t>20.30</w:t>
            </w:r>
          </w:p>
        </w:tc>
        <w:tc>
          <w:tcPr>
            <w:tcW w:w="66" w:type="dxa"/>
            <w:tcBorders/>
            <w:shd w:fill="CCEEFF" w:val="clear"/>
            <w:vAlign w:val="bottom"/>
          </w:tcPr>
          <w:p>
            <w:pPr>
              <w:pStyle w:val="TableContents"/>
              <w:bidi w:val="0"/>
              <w:spacing w:before="0" w:after="283"/>
              <w:jc w:val="left"/>
              <w:rPr/>
            </w:pPr>
            <w:r>
              <w:rPr/>
              <w:t> </w:t>
            </w:r>
          </w:p>
        </w:tc>
      </w:tr>
      <w:tr>
        <w:trPr/>
        <w:tc>
          <w:tcPr>
            <w:tcW w:w="5541"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4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582"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Changes in the assumed public offering price of $29.92 per share would not affect our as-adjusted net tangible book value after this offering because this offering is currently limited to $120,031,936. However, each $1.00 increase (decrease) in the assumed public offering price of $29.92 per share would increase (decrease) the dilution in as-adjusted net tangible book value per ordinary share to new investors in this offering by approximately $0.98 per share, assuming that the aggregate dollar amount of ordinary shares offered by us, as set forth above, remains at $120,031,936 and after deducting the commissions and estimated offering expenses payable by us. The information discussed above is illustrative only and will adjust based on the actual public offering price, the actual number of ordinary shares that we offer in this offering, and other terms of this offering determined at the time of each offer and sale.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foregoing, the number of ordinary shares outstanding after this offering is based on 61,734,601 ordinary shares outstanding as of June 30, 2026, and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16,366,000 ordinary shares issuable upon the conversion of 16,366 Series B Preferred Shares outstanding as of June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1,722,000 ordinary shares issuable upon the conversion of 1,722 Series C Preferred Shares outstanding as of June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4,542,351 ordinary shares issuable upon the exercise of options outstanding as of June 30, 2026 at a weighted-average exercise price of $23.47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956,787 ordinary shares issuable upon the vesting of restricted stock units outstanding as of June 30,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628,302 ordinary shares issuable upon the exercise of outstanding Paramora warrants having an exercise price of $23.01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8,705,367 ordinary shares available for issuance under the 2026 Equity Incentive Plan as of June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619,989 ordinary shares reserved for issuance under the 2026 Employee Stock Purchase Plan as of June 30,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3,602,447 ordinary shares available for issuance under the 2022 Inducement Plan as of June 30,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as otherwise indicated, the foregoing assumes no exercise of outstanding options or warrants, no vesting of restricted stock units, and no conversion of preferred shares after June 30, 2026.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options outstanding as of June 30, 2026 are exercised, restricted stock units outstanding as of June 30, 2026 are vested, or preferred shares outstanding as of June 30, 2026 are converted, or other ordinary shares are issued, investors purchasing ordinary shares in this offering could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shareholders.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ocb161734_8"/>
      <w:bookmarkEnd w:id="22"/>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the Sales Agreement with TD Cowen, under which we may issue and sell from time to time up to $150,000,000 of our ordinary shares, of which $29,968,064 of ordinary shares have been previously sold, and $120,031,936 of ordinary shares remain to be sold and are being offered by this prospectus supplement and the accompanying prospectus, through or to TD Cowen as our sales agent or principal. Sales of our ordinary shares, if any, will be made in negotiated transactions, including block trades or block sales, or by any method permitted by law deemed to be an “at the market offering” as defined in Rule 415 under the Securities Act, including without limitation sales made through Nasdaq or on any other existing trading market for our ordinary shares, or by any other method permitted by law. Sales pursuant to the Sales Agreement may be made through an affiliate of TD Cowen. </w:t>
      </w:r>
    </w:p>
    <w:p>
      <w:pPr>
        <w:pStyle w:val="TextBody"/>
        <w:bidi w:val="0"/>
        <w:spacing w:before="240" w:after="0"/>
        <w:jc w:val="left"/>
        <w:rPr>
          <w:rFonts w:ascii="Times New Roman" w:hAnsi="Times New Roman"/>
          <w:sz w:val="20"/>
        </w:rPr>
      </w:pPr>
      <w:r>
        <w:rPr>
          <w:rFonts w:ascii="Times New Roman" w:hAnsi="Times New Roman"/>
          <w:sz w:val="20"/>
        </w:rPr>
        <w:t xml:space="preserve">TD Cowen will offer our ordinary shares subject to the terms and conditions of the Sales Agreement on a daily basis or as otherwise agreed upon by us and TD Cowen. We will designate the maximum amount of ordinary shares to be sold through TD Cowen on a daily basis or otherwise determine such maximum amount together with TD Cowen. Subject to the terms and conditions of the Sales Agreement, TD Cowen will use its commercially reasonable efforts to sell on our behalf all of the ordinary shares requested to be sold by us. We may instruct TD Cowen not to sell ordinary shares if the sales cannot be effected at or above the price designated by us in any such instruction. TD Cowen or we may suspend the offering of our ordinary shares being made through TD Cowen under the Sales Agreement upon proper notice to the other party. TD Cowen and we each have the right, by giving written notice as specified in the Sales Agreement, to terminate the Sales Agreement in each party’s sole discretion at any time. </w:t>
      </w:r>
    </w:p>
    <w:p>
      <w:pPr>
        <w:pStyle w:val="TextBody"/>
        <w:bidi w:val="0"/>
        <w:spacing w:before="240" w:after="0"/>
        <w:jc w:val="left"/>
        <w:rPr>
          <w:rFonts w:ascii="Times New Roman" w:hAnsi="Times New Roman"/>
          <w:sz w:val="20"/>
        </w:rPr>
      </w:pPr>
      <w:r>
        <w:rPr>
          <w:rFonts w:ascii="Times New Roman" w:hAnsi="Times New Roman"/>
          <w:sz w:val="20"/>
        </w:rPr>
        <w:t xml:space="preserve">The aggregate compensation payable to TD Cowen as sales agent equals up to 3.0% of the gross sales price of the shares sold through it pursuant to the Sales Agreement. We have also agreed to reimburse TD Cowen for up to $75,000 of TD Cowen’s actual outside legal expenses incurred in connection with the execution of the Sales Agreement, in addition to certain ongoing disbursements of its legal counsel. We estimate that the total expenses of the offering payable by us, excluding commissions payable to TD Cowen under the Sales Agreement, will be approximately $225,000. </w:t>
      </w:r>
    </w:p>
    <w:p>
      <w:pPr>
        <w:pStyle w:val="TextBody"/>
        <w:bidi w:val="0"/>
        <w:spacing w:before="240" w:after="0"/>
        <w:jc w:val="left"/>
        <w:rPr>
          <w:rFonts w:ascii="Times New Roman" w:hAnsi="Times New Roman"/>
          <w:sz w:val="20"/>
        </w:rPr>
      </w:pPr>
      <w:r>
        <w:rPr>
          <w:rFonts w:ascii="Times New Roman" w:hAnsi="Times New Roman"/>
          <w:sz w:val="20"/>
        </w:rPr>
        <w:t xml:space="preserve">The remaining sales proceeds, after deducting any expenses payable by us and any transaction fees imposed by any governmental, regulatory, or self-regulatory organization in connection with the sales, will equal our net proceeds for the sale of such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TD Cowen will provide written confirmation to us following the close of trading on the Nasdaq Capital Market on each day in which ordinary shares is sold through it as sales agent under the Sales Agreement. Each confirmation will include the number of ordinary shares sold through it as sales agent on that day, the volume weighted average price of the shares sold, the percentage of the daily trading volume and the net proceeds to us. </w:t>
      </w:r>
    </w:p>
    <w:p>
      <w:pPr>
        <w:pStyle w:val="TextBody"/>
        <w:bidi w:val="0"/>
        <w:spacing w:before="240" w:after="0"/>
        <w:jc w:val="left"/>
        <w:rPr>
          <w:rFonts w:ascii="Times New Roman" w:hAnsi="Times New Roman"/>
          <w:sz w:val="20"/>
        </w:rPr>
      </w:pPr>
      <w:r>
        <w:rPr>
          <w:rFonts w:ascii="Times New Roman" w:hAnsi="Times New Roman"/>
          <w:sz w:val="20"/>
        </w:rPr>
        <w:t xml:space="preserve">We will report at least quarterly the number of ordinary shares sold through TD Cowen under the Sales Agreement and the net proceeds to us in connection with the sales of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Settlement for sales of ordinary shares will occur, unless the parties agree otherwise, on the first business day that is also a trading day following the date on which any sales were made in return for payment of the net proceeds to us. There is no arrangement for funds to be received in an escrow, trust or similar arrangement.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sales of our ordinary shares on our behalf, TD Cowen will be deemed to be an “underwriter” within the meaning of the Securities Act, and the compensation paid to TD Cowen will be deemed to be underwriting commissions or discounts. We have agreed in the Sales Agreement to provide indemnification and contribution to TD Cowen against certain liabilities, including liabilities under the Securities Act. As sales agent, TD Cowen will not engage in any transactions that stabilizes our ordinary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ordinary shares are listed on the Nasdaq Capital Market and trades under the symbol “DMRA.” The transfer agent of our ordinary shares is Computershare Trust Company, N.A. </w:t>
      </w:r>
    </w:p>
    <w:p>
      <w:pPr>
        <w:pStyle w:val="TextBody"/>
        <w:bidi w:val="0"/>
        <w:spacing w:before="240" w:after="0"/>
        <w:jc w:val="left"/>
        <w:rPr>
          <w:rFonts w:ascii="Times New Roman" w:hAnsi="Times New Roman"/>
          <w:sz w:val="20"/>
        </w:rPr>
      </w:pPr>
      <w:r>
        <w:rPr>
          <w:rFonts w:ascii="Times New Roman" w:hAnsi="Times New Roman"/>
          <w:sz w:val="20"/>
        </w:rPr>
        <w:t xml:space="preserve">TD Cowen and/or its affiliates have provided, and may in the future provide, various investment banking and other financial services for us for which services they have received and, may in the future receive, customary fees.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ocb161734_9"/>
      <w:bookmarkEnd w:id="23"/>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relating to U.S. federal law will be passed upon for us by Gibson, Dunn &amp; Crutcher LLP, San Francisco, California. The validity of the ordinary shares offered hereby and certain other legal matters relating to Cayman Islands law will be passed upon for us by Walkers (Cayman) LLP. TD Securities (USA) LLC is being represented in this offering by Mintz, Levin, Cohn, Ferris, Glovsky and Popeo, P.C., Boston, Massachusetts. </w:t>
      </w:r>
    </w:p>
    <w:p>
      <w:pPr>
        <w:pStyle w:val="TextBody"/>
        <w:bidi w:val="0"/>
        <w:spacing w:before="480" w:after="0"/>
        <w:jc w:val="center"/>
        <w:rPr>
          <w:rFonts w:ascii="Times New Roman" w:hAnsi="Times New Roman"/>
          <w:b/>
          <w:sz w:val="20"/>
        </w:rPr>
      </w:pPr>
      <w:bookmarkStart w:id="24" w:name="tocb161734_10"/>
      <w:bookmarkEnd w:id="24"/>
      <w:r>
        <w:rPr>
          <w:rFonts w:ascii="Times New Roman" w:hAnsi="Times New Roman"/>
          <w:b/>
          <w:sz w:val="20"/>
        </w:rPr>
        <w:t>EXPERTS</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Damora Therapeutics, Inc. appearing in Damora Therapeutics, Inc.’s Annual Report (Form 10-K) for the year ended December 31, 2025, have been audited by EY Godkendt Revisionspartnerselskab,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ocb161734_11"/>
      <w:bookmarkEnd w:id="25"/>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with the SEC a registration statement (including amendments and exhibits to the registration statement) on Form S-3 under the Securities Act with respect to the ordinary shares offered hereby. This prospectus supplement, which constitutes a part of the registration statement, does not contain all of the information set forth in the registration statement, some items of which are contained in exhibits to the registration statement as permitted by the rules and regulations of the SEC. For further information with respect to us and our ordinary shares, we refer you to the registration statement and its exhibits. Statements contained in this prospectus supplement concerning the contents of any contract or any other document are not necessarily complete. If a contract or document has been filed as an exhibit to the registration statement, please see the copy of the contract or document that has been filed. Each statement in this prospectus supplement relating to a contract or document filed as an exhibit is qualified in all respects by the filed exhibit. The exhibits to the registration statement should be reviewed for the complete contents of these contracts and documents. A copy of the registration statement and its exhibits may be obtained from the SEC upon the payment of fees prescribed by it. The SEC maintains a website at </w:t>
      </w:r>
      <w:r>
        <w:rPr>
          <w:rFonts w:ascii="Times New Roman" w:hAnsi="Times New Roman"/>
          <w:i/>
          <w:sz w:val="20"/>
        </w:rPr>
        <w:t>www.sec.gov</w:t>
      </w:r>
      <w:r>
        <w:rPr>
          <w:rFonts w:ascii="Times New Roman" w:hAnsi="Times New Roman"/>
          <w:sz w:val="20"/>
        </w:rPr>
        <w:t xml:space="preserve"> that contains reports, proxy and information statements and other information regarding companies that file electronically with it.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the information and periodic and current reporting requirements of the Exchange Act, and in accordance therewith, file periodic and current reports, proxy statements and other information with the SEC. The registration statement, such periodic and current reports and other information can be obtained electronically by means of the SEC’s website at </w:t>
      </w:r>
      <w:r>
        <w:rPr>
          <w:rFonts w:ascii="Times New Roman" w:hAnsi="Times New Roman"/>
          <w:i/>
          <w:sz w:val="20"/>
        </w:rPr>
        <w:t>www.sec.gov</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ocb161734_12"/>
      <w:bookmarkEnd w:id="26"/>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the information and reports we file with it, which means that we can disclose important information to you by referring you to those publicly available documents. The information incorporated by reference is an important part of this prospectus supplement, and information that we file after the date hereof with the SEC will automatically update and supersede the information already incorporated by reference. We are incorporating by reference the documents listed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19">
              <w:r>
                <w:rPr>
                  <w:rStyle w:val="InternetLink"/>
                  <w:rFonts w:ascii="Times New Roman" w:hAnsi="Times New Roman"/>
                  <w:sz w:val="20"/>
                </w:rPr>
                <w:t>Form 10-K</w:t>
              </w:r>
            </w:hyperlink>
            <w:r>
              <w:rPr>
                <w:rFonts w:ascii="Times New Roman" w:hAnsi="Times New Roman"/>
                <w:sz w:val="20"/>
              </w:rPr>
              <w:t xml:space="preserve"> for the fiscal year ended December 31, 2025, filed with the SEC on March  19, 2026, including certain information incorporated by reference therein from our </w:t>
            </w:r>
            <w:hyperlink r:id="rId20">
              <w:r>
                <w:rPr>
                  <w:rStyle w:val="InternetLink"/>
                  <w:rFonts w:ascii="Times New Roman" w:hAnsi="Times New Roman"/>
                  <w:sz w:val="20"/>
                </w:rPr>
                <w:t>Definitive Proxy Statement on Schedule 14A</w:t>
              </w:r>
            </w:hyperlink>
            <w:r>
              <w:rPr>
                <w:rFonts w:ascii="Times New Roman" w:hAnsi="Times New Roman"/>
                <w:sz w:val="20"/>
              </w:rPr>
              <w:t xml:space="preserve"> for our 2026 annual meeting of shareholders filed with the SEC on April 29,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quarters ended March 31, 2026 and June 30, 2026, filed with the SEC on </w:t>
            </w:r>
            <w:hyperlink r:id="rId21">
              <w:r>
                <w:rPr>
                  <w:rStyle w:val="InternetLink"/>
                  <w:rFonts w:ascii="Times New Roman" w:hAnsi="Times New Roman"/>
                  <w:sz w:val="20"/>
                </w:rPr>
                <w:t>May  12, 2026</w:t>
              </w:r>
            </w:hyperlink>
            <w:r>
              <w:rPr>
                <w:rFonts w:ascii="Times New Roman" w:hAnsi="Times New Roman"/>
                <w:sz w:val="20"/>
              </w:rPr>
              <w:t xml:space="preserve"> and </w:t>
            </w:r>
            <w:hyperlink r:id="rId22">
              <w:r>
                <w:rPr>
                  <w:rStyle w:val="InternetLink"/>
                  <w:rFonts w:ascii="Times New Roman" w:hAnsi="Times New Roman"/>
                  <w:sz w:val="20"/>
                </w:rPr>
                <w:t>August 10, 2026</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(except for information contained therein which is furnished rather than filed) filed with the SEC on </w:t>
            </w:r>
            <w:hyperlink r:id="rId23">
              <w:r>
                <w:rPr>
                  <w:rStyle w:val="InternetLink"/>
                  <w:rFonts w:ascii="Times New Roman" w:hAnsi="Times New Roman"/>
                  <w:sz w:val="20"/>
                </w:rPr>
                <w:t>January  6, 2026</w:t>
              </w:r>
            </w:hyperlink>
            <w:r>
              <w:rPr>
                <w:rFonts w:ascii="Times New Roman" w:hAnsi="Times New Roman"/>
                <w:sz w:val="20"/>
              </w:rPr>
              <w:t xml:space="preserve">, </w:t>
            </w:r>
            <w:hyperlink r:id="rId24">
              <w:r>
                <w:rPr>
                  <w:rStyle w:val="InternetLink"/>
                  <w:rFonts w:ascii="Times New Roman" w:hAnsi="Times New Roman"/>
                  <w:sz w:val="20"/>
                </w:rPr>
                <w:t>February  10, 2026</w:t>
              </w:r>
            </w:hyperlink>
            <w:r>
              <w:rPr>
                <w:rFonts w:ascii="Times New Roman" w:hAnsi="Times New Roman"/>
                <w:sz w:val="20"/>
              </w:rPr>
              <w:t xml:space="preserve">, </w:t>
            </w:r>
            <w:hyperlink r:id="rId25">
              <w:r>
                <w:rPr>
                  <w:rStyle w:val="InternetLink"/>
                  <w:rFonts w:ascii="Times New Roman" w:hAnsi="Times New Roman"/>
                  <w:sz w:val="20"/>
                </w:rPr>
                <w:t>February  11, 2026</w:t>
              </w:r>
            </w:hyperlink>
            <w:r>
              <w:rPr>
                <w:rFonts w:ascii="Times New Roman" w:hAnsi="Times New Roman"/>
                <w:sz w:val="20"/>
              </w:rPr>
              <w:t xml:space="preserve">, </w:t>
            </w:r>
            <w:hyperlink r:id="rId26">
              <w:r>
                <w:rPr>
                  <w:rStyle w:val="InternetLink"/>
                  <w:rFonts w:ascii="Times New Roman" w:hAnsi="Times New Roman"/>
                  <w:sz w:val="20"/>
                </w:rPr>
                <w:t>March  10, 2026</w:t>
              </w:r>
            </w:hyperlink>
            <w:r>
              <w:rPr>
                <w:rFonts w:ascii="Times New Roman" w:hAnsi="Times New Roman"/>
                <w:sz w:val="20"/>
              </w:rPr>
              <w:t xml:space="preserve">, </w:t>
            </w:r>
            <w:hyperlink r:id="rId27">
              <w:r>
                <w:rPr>
                  <w:rStyle w:val="InternetLink"/>
                  <w:rFonts w:ascii="Times New Roman" w:hAnsi="Times New Roman"/>
                  <w:sz w:val="20"/>
                </w:rPr>
                <w:t>March  23, 2026</w:t>
              </w:r>
            </w:hyperlink>
            <w:r>
              <w:rPr>
                <w:rFonts w:ascii="Times New Roman" w:hAnsi="Times New Roman"/>
                <w:sz w:val="20"/>
              </w:rPr>
              <w:t xml:space="preserve">, </w:t>
            </w:r>
            <w:hyperlink r:id="rId28">
              <w:r>
                <w:rPr>
                  <w:rStyle w:val="InternetLink"/>
                  <w:rFonts w:ascii="Times New Roman" w:hAnsi="Times New Roman"/>
                  <w:sz w:val="20"/>
                </w:rPr>
                <w:t>April  20, 2026</w:t>
              </w:r>
            </w:hyperlink>
            <w:r>
              <w:rPr>
                <w:rFonts w:ascii="Times New Roman" w:hAnsi="Times New Roman"/>
                <w:sz w:val="20"/>
              </w:rPr>
              <w:t xml:space="preserve">, </w:t>
            </w:r>
            <w:hyperlink r:id="rId29">
              <w:r>
                <w:rPr>
                  <w:rStyle w:val="InternetLink"/>
                  <w:rFonts w:ascii="Times New Roman" w:hAnsi="Times New Roman"/>
                  <w:sz w:val="20"/>
                </w:rPr>
                <w:t>May  4, 2026</w:t>
              </w:r>
            </w:hyperlink>
            <w:r>
              <w:rPr>
                <w:rFonts w:ascii="Times New Roman" w:hAnsi="Times New Roman"/>
                <w:sz w:val="20"/>
              </w:rPr>
              <w:t xml:space="preserve">, </w:t>
            </w:r>
            <w:hyperlink r:id="rId30">
              <w:r>
                <w:rPr>
                  <w:rStyle w:val="InternetLink"/>
                  <w:rFonts w:ascii="Times New Roman" w:hAnsi="Times New Roman"/>
                  <w:sz w:val="20"/>
                </w:rPr>
                <w:t>June  17, 2026</w:t>
              </w:r>
            </w:hyperlink>
            <w:r>
              <w:rPr>
                <w:rFonts w:ascii="Times New Roman" w:hAnsi="Times New Roman"/>
                <w:sz w:val="20"/>
              </w:rPr>
              <w:t xml:space="preserve"> and </w:t>
            </w:r>
            <w:hyperlink r:id="rId31">
              <w:r>
                <w:rPr>
                  <w:rStyle w:val="InternetLink"/>
                  <w:rFonts w:ascii="Times New Roman" w:hAnsi="Times New Roman"/>
                  <w:sz w:val="20"/>
                </w:rPr>
                <w:t>July 20,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ordinary shares contained in our registration statement on </w:t>
            </w:r>
            <w:hyperlink r:id="rId32">
              <w:r>
                <w:rPr>
                  <w:rStyle w:val="InternetLink"/>
                  <w:rFonts w:ascii="Times New Roman" w:hAnsi="Times New Roman"/>
                  <w:sz w:val="20"/>
                </w:rPr>
                <w:t>Form 8-A</w:t>
              </w:r>
            </w:hyperlink>
            <w:r>
              <w:rPr>
                <w:rFonts w:ascii="Times New Roman" w:hAnsi="Times New Roman"/>
                <w:sz w:val="20"/>
              </w:rPr>
              <w:t xml:space="preserve"> filed with the SEC on October 23, 2020 under Section  12 of the Exchange Act, as amended by </w:t>
            </w:r>
            <w:hyperlink r:id="rId33">
              <w:r>
                <w:rPr>
                  <w:rStyle w:val="InternetLink"/>
                  <w:rFonts w:ascii="Times New Roman" w:hAnsi="Times New Roman"/>
                  <w:sz w:val="20"/>
                </w:rPr>
                <w:t>Form 8-A/A</w:t>
              </w:r>
            </w:hyperlink>
            <w:r>
              <w:rPr>
                <w:rFonts w:ascii="Times New Roman" w:hAnsi="Times New Roman"/>
                <w:sz w:val="20"/>
              </w:rPr>
              <w:t xml:space="preserve"> filed with the SEC on August 10, 2026, including any amendment or report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Because we are incorporating by reference future filings with the SEC, this prospectus supplement is continually updated and those future filings may modify or supersede some of the information included or incorporated by reference in this prospectus supplement. This means that you must look at all of the SEC filings that we incorporate by reference to determine if any of the statements in this prospectus supplement or in any document previously incorporated by reference have been modified or superseded.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incorporates by reference the documents listed above and any future filings we make with the SEC under Sections 13(a), 13(c), 14 or 15(d) of the Exchange Act between the date of the initial registration statement and the effectiveness of the registration statement and following the effectiveness of the registration statement until the offering of the securities under the registration statement is terminated or completed, except that we are not incorporating by reference any information furnished (and not filed) with the SEC, including any information furnished pursuant to Items 2.02 or 7.01 of Form 8-K or related exhibits furnished pursuant to Item 9.01 of Form 8-K (unless expressly provided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You may request a copy of these filings (other than exhibits to such documents unless such exhibits are specifically incorporated by reference herein), at no cost, by contacting us, either orally or in writing, at the following: </w:t>
      </w:r>
    </w:p>
    <w:p>
      <w:pPr>
        <w:pStyle w:val="TextBody"/>
        <w:bidi w:val="0"/>
        <w:spacing w:before="240" w:after="0"/>
        <w:jc w:val="center"/>
        <w:rPr>
          <w:rFonts w:ascii="Times New Roman" w:hAnsi="Times New Roman"/>
          <w:sz w:val="20"/>
        </w:rPr>
      </w:pPr>
      <w:r>
        <w:rPr>
          <w:rFonts w:ascii="Times New Roman" w:hAnsi="Times New Roman"/>
          <w:sz w:val="20"/>
        </w:rPr>
        <w:t xml:space="preserve">Damora Therapeutics, Inc.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221 Crescent Street, Building 23, Suite 105 </w:t>
      </w:r>
    </w:p>
    <w:p>
      <w:pPr>
        <w:pStyle w:val="TextBody"/>
        <w:bidi w:val="0"/>
        <w:spacing w:before="0" w:after="0"/>
        <w:jc w:val="center"/>
        <w:rPr>
          <w:rFonts w:ascii="Times New Roman" w:hAnsi="Times New Roman"/>
          <w:sz w:val="20"/>
        </w:rPr>
      </w:pPr>
      <w:r>
        <w:rPr>
          <w:rFonts w:ascii="Times New Roman" w:hAnsi="Times New Roman"/>
          <w:sz w:val="20"/>
        </w:rPr>
        <w:t xml:space="preserve">Waltham, MA 02453 </w:t>
      </w:r>
    </w:p>
    <w:p>
      <w:pPr>
        <w:pStyle w:val="TextBody"/>
        <w:bidi w:val="0"/>
        <w:spacing w:before="0" w:after="0"/>
        <w:jc w:val="center"/>
        <w:rPr>
          <w:rFonts w:ascii="Times New Roman" w:hAnsi="Times New Roman"/>
          <w:sz w:val="20"/>
        </w:rPr>
      </w:pPr>
      <w:r>
        <w:rPr>
          <w:rFonts w:ascii="Times New Roman" w:hAnsi="Times New Roman"/>
          <w:sz w:val="20"/>
        </w:rPr>
        <w:t xml:space="preserve">(781) 281-9020 </w:t>
      </w:r>
    </w:p>
    <w:p>
      <w:pPr>
        <w:pStyle w:val="TextBody"/>
        <w:bidi w:val="0"/>
        <w:spacing w:before="240" w:after="0"/>
        <w:jc w:val="left"/>
        <w:rPr>
          <w:rFonts w:ascii="Times New Roman" w:hAnsi="Times New Roman"/>
          <w:sz w:val="20"/>
        </w:rPr>
      </w:pPr>
      <w:r>
        <w:rPr>
          <w:rFonts w:ascii="Times New Roman" w:hAnsi="Times New Roman"/>
          <w:sz w:val="20"/>
        </w:rPr>
        <w:t xml:space="preserve">Information about us, including our reports filed with the SEC, is available through our website at </w:t>
      </w:r>
      <w:r>
        <w:rPr>
          <w:rFonts w:ascii="Times New Roman" w:hAnsi="Times New Roman"/>
          <w:i/>
          <w:sz w:val="20"/>
        </w:rPr>
        <w:t>www.damoratx.com</w:t>
      </w:r>
      <w:r>
        <w:rPr>
          <w:rFonts w:ascii="Times New Roman" w:hAnsi="Times New Roman"/>
          <w:sz w:val="20"/>
        </w:rPr>
        <w:t xml:space="preserve">. Such reports are accessible at no charge through our website and are made available as soon as reasonably practicable after such material is filed with or furnished to the SEC. Our website and the information contained on that website, or connected to that website, are not incorporated by reference in this prospectus supplement. We have authorized no one to provide you with any information that differs from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contained in this prospectus supplement. Accordingly, we take no responsibility for any other information that others may give you. You should not assume that the information in this prospectus supplement is accurate as of any date other than the date of the front cover of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80" w:after="0"/>
        <w:jc w:val="center"/>
        <w:rPr>
          <w:rFonts w:ascii="Times New Roman" w:hAnsi="Times New Roman"/>
          <w:b/>
          <w:sz w:val="32"/>
        </w:rPr>
      </w:pPr>
      <w:r>
        <w:rPr>
          <w:rFonts w:ascii="Times New Roman" w:hAnsi="Times New Roman"/>
          <w:b/>
          <w:sz w:val="32"/>
        </w:rPr>
        <w:t xml:space="preserve">$150,000,000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536190" cy="65849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34"/>
                    <a:stretch>
                      <a:fillRect/>
                    </a:stretch>
                  </pic:blipFill>
                  <pic:spPr bwMode="auto">
                    <a:xfrm>
                      <a:off x="0" y="0"/>
                      <a:ext cx="2536190" cy="658495"/>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8"/>
        </w:rPr>
      </w:pPr>
      <w:r>
        <w:rPr>
          <w:rFonts w:ascii="Times New Roman" w:hAnsi="Times New Roman"/>
          <w:b/>
          <w:sz w:val="28"/>
        </w:rPr>
        <w:t>Ordinary Shares</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PROSPECTUS SUPPLEMENT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3200" w:after="0"/>
        <w:jc w:val="center"/>
        <w:rPr>
          <w:rFonts w:ascii="Times New Roman" w:hAnsi="Times New Roman"/>
          <w:b/>
          <w:sz w:val="32"/>
        </w:rPr>
      </w:pPr>
      <w:r>
        <w:rPr>
          <w:rFonts w:ascii="Times New Roman" w:hAnsi="Times New Roman"/>
          <w:b/>
          <w:sz w:val="32"/>
        </w:rPr>
        <w:t>TD Cowen</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80" w:after="0"/>
        <w:jc w:val="center"/>
        <w:rPr>
          <w:rFonts w:ascii="Times New Roman" w:hAnsi="Times New Roman"/>
          <w:b/>
          <w:sz w:val="20"/>
        </w:rPr>
      </w:pPr>
      <w:r>
        <w:rPr>
          <w:rFonts w:ascii="Times New Roman" w:hAnsi="Times New Roman"/>
          <w:b/>
          <w:sz w:val="20"/>
        </w:rPr>
        <w:t>August 10, 2026</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12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Item 14. Other Expenses of Issuance and Distribution.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this item is incorporated by reference from Item 14 of the Company’s Registration Statement on Form S-3ASR (Registration No. 333-293343), which was filed with the Commission on February 10, 2026 and became effective upon filing. </w:t>
      </w:r>
    </w:p>
    <w:p>
      <w:pPr>
        <w:pStyle w:val="TextBody"/>
        <w:bidi w:val="0"/>
        <w:spacing w:before="360" w:after="0"/>
        <w:jc w:val="left"/>
        <w:rPr>
          <w:rFonts w:ascii="Times New Roman" w:hAnsi="Times New Roman"/>
          <w:b/>
          <w:sz w:val="20"/>
        </w:rPr>
      </w:pPr>
      <w:r>
        <w:rPr>
          <w:rFonts w:ascii="Times New Roman" w:hAnsi="Times New Roman"/>
          <w:b/>
          <w:sz w:val="20"/>
        </w:rPr>
        <w:t xml:space="preserve">Item 15.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In most cases, under Cayman Islands law, the Company will be the proper plaintiff in any claim based on a breach of duty owed to it, and a claim against (for example) the Company’s directors or officers usually may not be brought by a shareholder. In principle, a shareholder does not have a direct right of action against directors of the Company. However, based on Cayman Islands authorities and English authorities (which will be of persuasive authority in the Cayman Islands), there are exceptions to the foregoing principle such that a shareholder may be entitled to bring a derivative action on behalf of the Company, but only in limited circumstances, including but not limited to: the Company acts or proposes to act illegally or ultra vires; the act complained of (although not ultra vires) could be affected if duly authorized by a special resolution that has not been obtained; and those who control the Company are perpetuating a “fraud on the minority”. A shareholder may have a direct right of action against the Company where the individual rights of that shareholder have been or will be infringed. Derivative actions have been brought in the Cayman Islands courts, and the Cayman Islands courts have confirmed the availability for such actions. </w:t>
      </w:r>
    </w:p>
    <w:p>
      <w:pPr>
        <w:pStyle w:val="TextBody"/>
        <w:bidi w:val="0"/>
        <w:spacing w:before="240" w:after="0"/>
        <w:jc w:val="left"/>
        <w:rPr>
          <w:rFonts w:ascii="Times New Roman" w:hAnsi="Times New Roman"/>
          <w:sz w:val="20"/>
        </w:rPr>
      </w:pPr>
      <w:r>
        <w:rPr>
          <w:rFonts w:ascii="Times New Roman" w:hAnsi="Times New Roman"/>
          <w:sz w:val="20"/>
        </w:rPr>
        <w:t xml:space="preserve">Cayman Islands law does not specifically restrict a Cayman Islands exempted company from exculpating its directors or officers from liability for negligence or a breach of duty, except to the extent any such provision may be held by the Cayman Islands courts to be contrary to public policy, such as to limit liability against willful default, willful neglect, actual fraud or the consequences of committing a crime. The Cayman Articles provide for indemnification for every director and officer of Damora Cayman. </w:t>
      </w:r>
    </w:p>
    <w:p>
      <w:pPr>
        <w:pStyle w:val="TextBody"/>
        <w:bidi w:val="0"/>
        <w:spacing w:before="240" w:after="0"/>
        <w:jc w:val="left"/>
        <w:rPr>
          <w:rFonts w:ascii="Times New Roman" w:hAnsi="Times New Roman"/>
          <w:sz w:val="20"/>
        </w:rPr>
      </w:pPr>
      <w:r>
        <w:rPr>
          <w:rFonts w:ascii="Times New Roman" w:hAnsi="Times New Roman"/>
          <w:sz w:val="20"/>
        </w:rPr>
        <w:t xml:space="preserve">Cayman Islands law does not restrict the authority of a Cayman Islands exempted company to advance expenses incurred by an officer or director in defending any civil, criminal, administrative or investigative action, suit or proceeding, but there is no statutory provision expressly requiring or governing advancement of expenses. Instead, the ability to advance expenses is typically addressed in a Cayman Islands exempted company’s articles of association. The Cayman Articles provide for expense advancement provisions for indemnified persons. </w:t>
      </w:r>
    </w:p>
    <w:p>
      <w:pPr>
        <w:pStyle w:val="TextBody"/>
        <w:bidi w:val="0"/>
        <w:spacing w:before="240" w:after="0"/>
        <w:jc w:val="left"/>
        <w:rPr>
          <w:rFonts w:ascii="Times New Roman" w:hAnsi="Times New Roman"/>
          <w:sz w:val="20"/>
        </w:rPr>
      </w:pPr>
      <w:r>
        <w:rPr>
          <w:rFonts w:ascii="Times New Roman" w:hAnsi="Times New Roman"/>
          <w:sz w:val="20"/>
        </w:rPr>
        <w:t xml:space="preserve">Damora Cayman has entered into indemnification agreements with each of its directors and executive officers that obligate us to indemnify, hold harmless, exonerate, and to advance expenses as incurred, to the fullest extent permitted under applicable law, from damage arising from the fact that such person is or was an officer or director of Damora Cayman or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The Cayman Articles also provide that Damora Cayman may maintain insurance to protect a director or an officer against liability. Damora Cayman has obtained insurance that covers certain liabilities of its directors and officers. </w:t>
      </w:r>
    </w:p>
    <w:p>
      <w:pPr>
        <w:pStyle w:val="TextBody"/>
        <w:bidi w:val="0"/>
        <w:spacing w:before="240" w:after="0"/>
        <w:jc w:val="left"/>
        <w:rPr>
          <w:rFonts w:ascii="Times New Roman" w:hAnsi="Times New Roman"/>
          <w:sz w:val="20"/>
        </w:rPr>
      </w:pPr>
      <w:r>
        <w:rPr>
          <w:rFonts w:ascii="Times New Roman" w:hAnsi="Times New Roman"/>
          <w:sz w:val="20"/>
        </w:rPr>
        <w:t xml:space="preserve">The indemnification rights set forth above shall not be exclusive of any other right which an indemnified person may have or hereafter acquire under any statute, the Cayman Articles, any agreement, any vote of shareholders or disinterested directors or otherwise. </w:t>
      </w:r>
    </w:p>
    <w:p>
      <w:pPr>
        <w:pStyle w:val="TextBody"/>
        <w:bidi w:val="0"/>
        <w:spacing w:before="240" w:after="0"/>
        <w:jc w:val="left"/>
        <w:rPr>
          <w:rFonts w:ascii="Times New Roman" w:hAnsi="Times New Roman"/>
          <w:sz w:val="20"/>
        </w:rPr>
      </w:pPr>
      <w:r>
        <w:rPr>
          <w:rFonts w:ascii="Times New Roman" w:hAnsi="Times New Roman"/>
          <w:sz w:val="20"/>
        </w:rPr>
        <w:t xml:space="preserve">Damora Cayman’s indemnification obligations may discourage shareholders from bringing a lawsuit against its officers or directors for breach of their fiduciary duty. These provisions also may have the effect of reducing the likelihood of derivative litigation against Damora Cayman’s officers and directors, even though such an action, if successful, might otherwise benefit us and our shareholders. Furthermore, a shareholder’s investment may be adversely affected to the extent Damora Cayman pays the costs of settlement and damage awards against its officers and directors pursuant to these indemnification provisions. Insofar as indemnification for liabilities arising under the Securities Act may be permitted to directors, officers, or control persons, in the opinion of the Commission, such indemnification is against public policy as expressed in the Securities Act and is therefore unenforceable.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Item 16.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5"/>
        <w:gridCol w:w="565"/>
        <w:gridCol w:w="8945"/>
      </w:tblGrid>
      <w:tr>
        <w:trPr/>
        <w:tc>
          <w:tcPr>
            <w:tcW w:w="695" w:type="dxa"/>
            <w:tcBorders/>
            <w:vAlign w:val="center"/>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8945" w:type="dxa"/>
            <w:tcBorders/>
            <w:vAlign w:val="center"/>
          </w:tcPr>
          <w:p>
            <w:pPr>
              <w:pStyle w:val="TableContents"/>
              <w:bidi w:val="0"/>
              <w:spacing w:before="0" w:after="283"/>
              <w:jc w:val="left"/>
              <w:rPr>
                <w:sz w:val="4"/>
                <w:szCs w:val="4"/>
              </w:rPr>
            </w:pPr>
            <w:r>
              <w:rPr>
                <w:sz w:val="4"/>
                <w:szCs w:val="4"/>
              </w:rPr>
            </w:r>
          </w:p>
        </w:tc>
      </w:tr>
      <w:tr>
        <w:trPr/>
        <w:tc>
          <w:tcPr>
            <w:tcW w:w="695"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r>
          </w:p>
        </w:tc>
        <w:tc>
          <w:tcPr>
            <w:tcW w:w="565" w:type="dxa"/>
            <w:tcBorders/>
            <w:vAlign w:val="bottom"/>
          </w:tcPr>
          <w:p>
            <w:pPr>
              <w:pStyle w:val="TableContents"/>
              <w:bidi w:val="0"/>
              <w:spacing w:before="0" w:after="283"/>
              <w:jc w:val="left"/>
              <w:rPr/>
            </w:pPr>
            <w:r>
              <w:rPr/>
              <w:t>  </w:t>
            </w:r>
          </w:p>
        </w:tc>
        <w:tc>
          <w:tcPr>
            <w:tcW w:w="8945"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w:t>
            </w:r>
          </w:p>
        </w:tc>
      </w:tr>
      <w:tr>
        <w:trPr>
          <w:trHeight w:val="120" w:hRule="atLeast"/>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tcPr>
          <w:p>
            <w:pPr>
              <w:pStyle w:val="TableContents"/>
              <w:bidi w:val="0"/>
              <w:spacing w:before="0" w:after="283"/>
              <w:jc w:val="left"/>
              <w:rPr/>
            </w:pPr>
            <w:r>
              <w:rPr/>
              <w:t> </w:t>
            </w:r>
            <w:r>
              <w:rPr/>
              <w:t>1.1*</w:t>
            </w:r>
          </w:p>
        </w:tc>
        <w:tc>
          <w:tcPr>
            <w:tcW w:w="565" w:type="dxa"/>
            <w:tcBorders/>
            <w:vAlign w:val="bottom"/>
          </w:tcPr>
          <w:p>
            <w:pPr>
              <w:pStyle w:val="TableContents"/>
              <w:bidi w:val="0"/>
              <w:spacing w:before="0" w:after="283"/>
              <w:jc w:val="left"/>
              <w:rPr/>
            </w:pPr>
            <w:r>
              <w:rPr/>
              <w:t>  </w:t>
            </w:r>
          </w:p>
        </w:tc>
        <w:tc>
          <w:tcPr>
            <w:tcW w:w="8945" w:type="dxa"/>
            <w:tcBorders/>
          </w:tcPr>
          <w:p>
            <w:pPr>
              <w:pStyle w:val="TableContents"/>
              <w:bidi w:val="0"/>
              <w:spacing w:before="0" w:after="283"/>
              <w:jc w:val="left"/>
              <w:rPr/>
            </w:pPr>
            <w:r>
              <w:rPr/>
              <w:t>Form of Underwriting Agreement.</w:t>
            </w:r>
          </w:p>
        </w:tc>
      </w:tr>
      <w:tr>
        <w:trPr>
          <w:trHeight w:val="120" w:hRule="atLeast"/>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tcPr>
          <w:p>
            <w:pPr>
              <w:pStyle w:val="TableContents"/>
              <w:bidi w:val="0"/>
              <w:spacing w:before="0" w:after="283"/>
              <w:jc w:val="left"/>
              <w:rPr/>
            </w:pPr>
            <w:r>
              <w:rPr/>
              <w:t> </w:t>
            </w:r>
            <w:r>
              <w:rPr/>
              <w:t>1.2</w:t>
            </w:r>
          </w:p>
        </w:tc>
        <w:tc>
          <w:tcPr>
            <w:tcW w:w="565" w:type="dxa"/>
            <w:tcBorders/>
            <w:vAlign w:val="bottom"/>
          </w:tcPr>
          <w:p>
            <w:pPr>
              <w:pStyle w:val="TableContents"/>
              <w:bidi w:val="0"/>
              <w:spacing w:before="0" w:after="283"/>
              <w:jc w:val="left"/>
              <w:rPr/>
            </w:pPr>
            <w:r>
              <w:rPr/>
              <w:t>  </w:t>
            </w:r>
          </w:p>
        </w:tc>
        <w:tc>
          <w:tcPr>
            <w:tcW w:w="8945" w:type="dxa"/>
            <w:tcBorders/>
          </w:tcPr>
          <w:p>
            <w:pPr>
              <w:pStyle w:val="TableContents"/>
              <w:bidi w:val="0"/>
              <w:spacing w:before="0" w:after="283"/>
              <w:jc w:val="left"/>
              <w:rPr/>
            </w:pPr>
            <w:hyperlink w:anchor="d161734dex12.htm">
              <w:r>
                <w:rPr>
                  <w:rStyle w:val="InternetLink"/>
                </w:rPr>
                <w:t xml:space="preserve">Amended and Restated Sales Agreement, dated August 10, 2026, by and between Damora Therapeutics, Inc. and TD Securities (USA) LLC. </w:t>
              </w:r>
            </w:hyperlink>
          </w:p>
        </w:tc>
      </w:tr>
      <w:tr>
        <w:trPr>
          <w:trHeight w:val="120" w:hRule="atLeast"/>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tcPr>
          <w:p>
            <w:pPr>
              <w:pStyle w:val="TableContents"/>
              <w:bidi w:val="0"/>
              <w:spacing w:before="0" w:after="283"/>
              <w:jc w:val="left"/>
              <w:rPr/>
            </w:pPr>
            <w:r>
              <w:rPr/>
              <w:t> </w:t>
            </w:r>
            <w:r>
              <w:rPr/>
              <w:t>2.1</w:t>
            </w:r>
          </w:p>
        </w:tc>
        <w:tc>
          <w:tcPr>
            <w:tcW w:w="565" w:type="dxa"/>
            <w:tcBorders/>
            <w:vAlign w:val="bottom"/>
          </w:tcPr>
          <w:p>
            <w:pPr>
              <w:pStyle w:val="TableContents"/>
              <w:bidi w:val="0"/>
              <w:spacing w:before="0" w:after="283"/>
              <w:jc w:val="left"/>
              <w:rPr/>
            </w:pPr>
            <w:r>
              <w:rPr/>
              <w:t>  </w:t>
            </w:r>
          </w:p>
        </w:tc>
        <w:tc>
          <w:tcPr>
            <w:tcW w:w="8945" w:type="dxa"/>
            <w:tcBorders/>
          </w:tcPr>
          <w:p>
            <w:pPr>
              <w:pStyle w:val="TableContents"/>
              <w:bidi w:val="0"/>
              <w:spacing w:before="0" w:after="283"/>
              <w:jc w:val="left"/>
              <w:rPr/>
            </w:pPr>
            <w:hyperlink r:id="rId35">
              <w:r>
                <w:rPr>
                  <w:rStyle w:val="InternetLink"/>
                </w:rPr>
                <w:t>Plan of Conversion (incorporated by reference to Exhibit 2.1 to Registrant’s Current Report on Form 8-K (File No. 001-39655) filed with the SEC on July 20, 2026).</w:t>
              </w:r>
            </w:hyperlink>
          </w:p>
        </w:tc>
      </w:tr>
      <w:tr>
        <w:trPr>
          <w:trHeight w:val="120" w:hRule="atLeast"/>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tcPr>
          <w:p>
            <w:pPr>
              <w:pStyle w:val="TableContents"/>
              <w:bidi w:val="0"/>
              <w:spacing w:before="0" w:after="283"/>
              <w:jc w:val="left"/>
              <w:rPr/>
            </w:pPr>
            <w:r>
              <w:rPr/>
              <w:t> </w:t>
            </w:r>
            <w:r>
              <w:rPr/>
              <w:t>3.1</w:t>
            </w:r>
          </w:p>
        </w:tc>
        <w:tc>
          <w:tcPr>
            <w:tcW w:w="565" w:type="dxa"/>
            <w:tcBorders/>
            <w:vAlign w:val="bottom"/>
          </w:tcPr>
          <w:p>
            <w:pPr>
              <w:pStyle w:val="TableContents"/>
              <w:bidi w:val="0"/>
              <w:spacing w:before="0" w:after="283"/>
              <w:jc w:val="left"/>
              <w:rPr/>
            </w:pPr>
            <w:r>
              <w:rPr/>
              <w:t>  </w:t>
            </w:r>
          </w:p>
        </w:tc>
        <w:tc>
          <w:tcPr>
            <w:tcW w:w="8945" w:type="dxa"/>
            <w:tcBorders/>
          </w:tcPr>
          <w:p>
            <w:pPr>
              <w:pStyle w:val="TableContents"/>
              <w:bidi w:val="0"/>
              <w:spacing w:before="0" w:after="283"/>
              <w:jc w:val="left"/>
              <w:rPr/>
            </w:pPr>
            <w:hyperlink r:id="rId36">
              <w:r>
                <w:rPr>
                  <w:rStyle w:val="InternetLink"/>
                </w:rPr>
                <w:t>Cayman Memorandum and Articles of Association (incorporated by reference to Exhibit 3.1 to Registrant’s Current Report on Form 8-K (File No. 001-39655) filed with the SEC on July 20, 2026).</w:t>
              </w:r>
            </w:hyperlink>
          </w:p>
        </w:tc>
      </w:tr>
      <w:tr>
        <w:trPr>
          <w:trHeight w:val="120" w:hRule="atLeast"/>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tcPr>
          <w:p>
            <w:pPr>
              <w:pStyle w:val="TableContents"/>
              <w:bidi w:val="0"/>
              <w:spacing w:before="0" w:after="283"/>
              <w:jc w:val="left"/>
              <w:rPr/>
            </w:pPr>
            <w:r>
              <w:rPr/>
              <w:t> </w:t>
            </w:r>
            <w:r>
              <w:rPr/>
              <w:t>3.2</w:t>
            </w:r>
          </w:p>
        </w:tc>
        <w:tc>
          <w:tcPr>
            <w:tcW w:w="565" w:type="dxa"/>
            <w:tcBorders/>
            <w:vAlign w:val="bottom"/>
          </w:tcPr>
          <w:p>
            <w:pPr>
              <w:pStyle w:val="TableContents"/>
              <w:bidi w:val="0"/>
              <w:spacing w:before="0" w:after="283"/>
              <w:jc w:val="left"/>
              <w:rPr/>
            </w:pPr>
            <w:r>
              <w:rPr/>
              <w:t>  </w:t>
            </w:r>
          </w:p>
        </w:tc>
        <w:tc>
          <w:tcPr>
            <w:tcW w:w="8945" w:type="dxa"/>
            <w:tcBorders/>
          </w:tcPr>
          <w:p>
            <w:pPr>
              <w:pStyle w:val="TableContents"/>
              <w:bidi w:val="0"/>
              <w:spacing w:before="0" w:after="283"/>
              <w:jc w:val="left"/>
              <w:rPr/>
            </w:pPr>
            <w:hyperlink r:id="rId37">
              <w:r>
                <w:rPr>
                  <w:rStyle w:val="InternetLink"/>
                </w:rPr>
                <w:t>Cayman Certificate of Designation of Preferences, Rights and Limitations of Series A Non-Voting Convertible Preferred Shares, effective July 16, 2026 (incorporated by reference to Exhibit 3.2 to Registrant’s Current Report on Form 8-K (File No. 001-39655) filed with the SEC on July 20, 2026).</w:t>
              </w:r>
            </w:hyperlink>
          </w:p>
        </w:tc>
      </w:tr>
      <w:tr>
        <w:trPr>
          <w:trHeight w:val="120" w:hRule="atLeast"/>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tcPr>
          <w:p>
            <w:pPr>
              <w:pStyle w:val="TableContents"/>
              <w:bidi w:val="0"/>
              <w:spacing w:before="0" w:after="283"/>
              <w:jc w:val="left"/>
              <w:rPr/>
            </w:pPr>
            <w:r>
              <w:rPr/>
              <w:t> </w:t>
            </w:r>
            <w:r>
              <w:rPr/>
              <w:t>3.3</w:t>
            </w:r>
          </w:p>
        </w:tc>
        <w:tc>
          <w:tcPr>
            <w:tcW w:w="565" w:type="dxa"/>
            <w:tcBorders/>
            <w:vAlign w:val="bottom"/>
          </w:tcPr>
          <w:p>
            <w:pPr>
              <w:pStyle w:val="TableContents"/>
              <w:bidi w:val="0"/>
              <w:spacing w:before="0" w:after="283"/>
              <w:jc w:val="left"/>
              <w:rPr/>
            </w:pPr>
            <w:r>
              <w:rPr/>
              <w:t>  </w:t>
            </w:r>
          </w:p>
        </w:tc>
        <w:tc>
          <w:tcPr>
            <w:tcW w:w="8945" w:type="dxa"/>
            <w:tcBorders/>
          </w:tcPr>
          <w:p>
            <w:pPr>
              <w:pStyle w:val="TableContents"/>
              <w:bidi w:val="0"/>
              <w:spacing w:before="0" w:after="283"/>
              <w:jc w:val="left"/>
              <w:rPr/>
            </w:pPr>
            <w:hyperlink r:id="rId38">
              <w:r>
                <w:rPr>
                  <w:rStyle w:val="InternetLink"/>
                </w:rPr>
                <w:t>Cayman Certificate of Designation of Preferences, Rights and Limitations of Series B Non-Voting Convertible Preferred Shares, effective July 16, 2026 (incorporated by reference to Exhibit 3.3 to Registrant’s Current Report on Form 8-K (File No. 001-39655) filed with the SEC on July 20, 2026).</w:t>
              </w:r>
            </w:hyperlink>
          </w:p>
        </w:tc>
      </w:tr>
      <w:tr>
        <w:trPr>
          <w:trHeight w:val="120" w:hRule="atLeast"/>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tcPr>
          <w:p>
            <w:pPr>
              <w:pStyle w:val="TableContents"/>
              <w:bidi w:val="0"/>
              <w:spacing w:before="0" w:after="283"/>
              <w:jc w:val="left"/>
              <w:rPr/>
            </w:pPr>
            <w:r>
              <w:rPr/>
              <w:t> </w:t>
            </w:r>
            <w:r>
              <w:rPr/>
              <w:t>3.4</w:t>
            </w:r>
          </w:p>
        </w:tc>
        <w:tc>
          <w:tcPr>
            <w:tcW w:w="565" w:type="dxa"/>
            <w:tcBorders/>
            <w:vAlign w:val="bottom"/>
          </w:tcPr>
          <w:p>
            <w:pPr>
              <w:pStyle w:val="TableContents"/>
              <w:bidi w:val="0"/>
              <w:spacing w:before="0" w:after="283"/>
              <w:jc w:val="left"/>
              <w:rPr/>
            </w:pPr>
            <w:r>
              <w:rPr/>
              <w:t>  </w:t>
            </w:r>
          </w:p>
        </w:tc>
        <w:tc>
          <w:tcPr>
            <w:tcW w:w="8945" w:type="dxa"/>
            <w:tcBorders/>
          </w:tcPr>
          <w:p>
            <w:pPr>
              <w:pStyle w:val="TableContents"/>
              <w:bidi w:val="0"/>
              <w:spacing w:before="0" w:after="283"/>
              <w:jc w:val="left"/>
              <w:rPr/>
            </w:pPr>
            <w:hyperlink r:id="rId39">
              <w:r>
                <w:rPr>
                  <w:rStyle w:val="InternetLink"/>
                </w:rPr>
                <w:t>Cayman Certificate of Designation of Preferences, Rights and Limitations of Series C Non-Voting Convertible Preferred Shares, effective July 16, 2026 (incorporated by reference to Exhibit 3.4 to Registrant’s Current Report on Form 8-K (File No. 001-39655) filed with the SEC on July 20, 2026).</w:t>
              </w:r>
            </w:hyperlink>
          </w:p>
        </w:tc>
      </w:tr>
      <w:tr>
        <w:trPr>
          <w:trHeight w:val="120" w:hRule="atLeast"/>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tcPr>
          <w:p>
            <w:pPr>
              <w:pStyle w:val="TableContents"/>
              <w:bidi w:val="0"/>
              <w:spacing w:before="0" w:after="283"/>
              <w:jc w:val="left"/>
              <w:rPr/>
            </w:pPr>
            <w:r>
              <w:rPr/>
              <w:t> </w:t>
            </w:r>
            <w:r>
              <w:rPr/>
              <w:t>4.2</w:t>
            </w:r>
          </w:p>
        </w:tc>
        <w:tc>
          <w:tcPr>
            <w:tcW w:w="565" w:type="dxa"/>
            <w:tcBorders/>
            <w:vAlign w:val="bottom"/>
          </w:tcPr>
          <w:p>
            <w:pPr>
              <w:pStyle w:val="TableContents"/>
              <w:bidi w:val="0"/>
              <w:spacing w:before="0" w:after="283"/>
              <w:jc w:val="left"/>
              <w:rPr/>
            </w:pPr>
            <w:r>
              <w:rPr/>
              <w:t>  </w:t>
            </w:r>
          </w:p>
        </w:tc>
        <w:tc>
          <w:tcPr>
            <w:tcW w:w="8945" w:type="dxa"/>
            <w:tcBorders/>
          </w:tcPr>
          <w:p>
            <w:pPr>
              <w:pStyle w:val="TableContents"/>
              <w:bidi w:val="0"/>
              <w:spacing w:before="0" w:after="283"/>
              <w:jc w:val="left"/>
              <w:rPr/>
            </w:pPr>
            <w:hyperlink r:id="rId40">
              <w:r>
                <w:rPr>
                  <w:rStyle w:val="InternetLink"/>
                </w:rPr>
                <w:t>Form of Registration Rights Agreement, by and among the Registrant and certain investors signatory thereto (incorporated by reference to Exhibit 10.2 to Registrant’s Current Report on Form 8-K (File No. 001-39655) filed with the SEC on November 10, 2025).</w:t>
              </w:r>
            </w:hyperlink>
          </w:p>
        </w:tc>
      </w:tr>
      <w:tr>
        <w:trPr>
          <w:trHeight w:val="120" w:hRule="atLeast"/>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tcPr>
          <w:p>
            <w:pPr>
              <w:pStyle w:val="TableContents"/>
              <w:bidi w:val="0"/>
              <w:spacing w:before="0" w:after="283"/>
              <w:jc w:val="left"/>
              <w:rPr/>
            </w:pPr>
            <w:r>
              <w:rPr/>
              <w:t> </w:t>
            </w:r>
            <w:r>
              <w:rPr/>
              <w:t>4.3</w:t>
            </w:r>
          </w:p>
        </w:tc>
        <w:tc>
          <w:tcPr>
            <w:tcW w:w="565" w:type="dxa"/>
            <w:tcBorders/>
            <w:vAlign w:val="bottom"/>
          </w:tcPr>
          <w:p>
            <w:pPr>
              <w:pStyle w:val="TableContents"/>
              <w:bidi w:val="0"/>
              <w:spacing w:before="0" w:after="283"/>
              <w:jc w:val="left"/>
              <w:rPr/>
            </w:pPr>
            <w:r>
              <w:rPr/>
              <w:t>  </w:t>
            </w:r>
          </w:p>
        </w:tc>
        <w:tc>
          <w:tcPr>
            <w:tcW w:w="8945" w:type="dxa"/>
            <w:tcBorders/>
          </w:tcPr>
          <w:p>
            <w:pPr>
              <w:pStyle w:val="TableContents"/>
              <w:bidi w:val="0"/>
              <w:spacing w:before="0" w:after="283"/>
              <w:jc w:val="left"/>
              <w:rPr/>
            </w:pPr>
            <w:hyperlink w:anchor="d161734dex43.htm">
              <w:r>
                <w:rPr>
                  <w:rStyle w:val="InternetLink"/>
                </w:rPr>
                <w:t xml:space="preserve">Form of Debt Indenture. </w:t>
              </w:r>
            </w:hyperlink>
          </w:p>
        </w:tc>
      </w:tr>
      <w:tr>
        <w:trPr>
          <w:trHeight w:val="120" w:hRule="atLeast"/>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tcPr>
          <w:p>
            <w:pPr>
              <w:pStyle w:val="TableContents"/>
              <w:bidi w:val="0"/>
              <w:spacing w:before="0" w:after="283"/>
              <w:jc w:val="left"/>
              <w:rPr/>
            </w:pPr>
            <w:r>
              <w:rPr/>
              <w:t> </w:t>
            </w:r>
            <w:r>
              <w:rPr/>
              <w:t>4.4*</w:t>
            </w:r>
          </w:p>
        </w:tc>
        <w:tc>
          <w:tcPr>
            <w:tcW w:w="565" w:type="dxa"/>
            <w:tcBorders/>
            <w:vAlign w:val="bottom"/>
          </w:tcPr>
          <w:p>
            <w:pPr>
              <w:pStyle w:val="TableContents"/>
              <w:bidi w:val="0"/>
              <w:spacing w:before="0" w:after="283"/>
              <w:jc w:val="left"/>
              <w:rPr/>
            </w:pPr>
            <w:r>
              <w:rPr/>
              <w:t>  </w:t>
            </w:r>
          </w:p>
        </w:tc>
        <w:tc>
          <w:tcPr>
            <w:tcW w:w="8945" w:type="dxa"/>
            <w:tcBorders/>
          </w:tcPr>
          <w:p>
            <w:pPr>
              <w:pStyle w:val="TableContents"/>
              <w:bidi w:val="0"/>
              <w:spacing w:before="0" w:after="283"/>
              <w:jc w:val="left"/>
              <w:rPr/>
            </w:pPr>
            <w:r>
              <w:rPr/>
              <w:t>Form of Debt Securities.</w:t>
            </w:r>
          </w:p>
        </w:tc>
      </w:tr>
      <w:tr>
        <w:trPr>
          <w:trHeight w:val="120" w:hRule="atLeast"/>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tcPr>
          <w:p>
            <w:pPr>
              <w:pStyle w:val="TableContents"/>
              <w:bidi w:val="0"/>
              <w:spacing w:before="0" w:after="283"/>
              <w:jc w:val="left"/>
              <w:rPr/>
            </w:pPr>
            <w:r>
              <w:rPr/>
              <w:t> </w:t>
            </w:r>
            <w:r>
              <w:rPr/>
              <w:t>4.5*</w:t>
            </w:r>
          </w:p>
        </w:tc>
        <w:tc>
          <w:tcPr>
            <w:tcW w:w="565" w:type="dxa"/>
            <w:tcBorders/>
            <w:vAlign w:val="bottom"/>
          </w:tcPr>
          <w:p>
            <w:pPr>
              <w:pStyle w:val="TableContents"/>
              <w:bidi w:val="0"/>
              <w:spacing w:before="0" w:after="283"/>
              <w:jc w:val="left"/>
              <w:rPr/>
            </w:pPr>
            <w:r>
              <w:rPr/>
              <w:t>  </w:t>
            </w:r>
          </w:p>
        </w:tc>
        <w:tc>
          <w:tcPr>
            <w:tcW w:w="8945" w:type="dxa"/>
            <w:tcBorders/>
          </w:tcPr>
          <w:p>
            <w:pPr>
              <w:pStyle w:val="TableContents"/>
              <w:bidi w:val="0"/>
              <w:spacing w:before="0" w:after="283"/>
              <w:jc w:val="left"/>
              <w:rPr/>
            </w:pPr>
            <w:r>
              <w:rPr/>
              <w:t>Form of Warrant Agreement and Warrant Certificate.</w:t>
            </w:r>
          </w:p>
        </w:tc>
      </w:tr>
      <w:tr>
        <w:trPr>
          <w:trHeight w:val="120" w:hRule="atLeast"/>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tcPr>
          <w:p>
            <w:pPr>
              <w:pStyle w:val="TableContents"/>
              <w:bidi w:val="0"/>
              <w:spacing w:before="0" w:after="283"/>
              <w:jc w:val="left"/>
              <w:rPr/>
            </w:pPr>
            <w:r>
              <w:rPr/>
              <w:t> </w:t>
            </w:r>
            <w:r>
              <w:rPr/>
              <w:t>4.6*</w:t>
            </w:r>
          </w:p>
        </w:tc>
        <w:tc>
          <w:tcPr>
            <w:tcW w:w="565" w:type="dxa"/>
            <w:tcBorders/>
            <w:vAlign w:val="bottom"/>
          </w:tcPr>
          <w:p>
            <w:pPr>
              <w:pStyle w:val="TableContents"/>
              <w:bidi w:val="0"/>
              <w:spacing w:before="0" w:after="283"/>
              <w:jc w:val="left"/>
              <w:rPr/>
            </w:pPr>
            <w:r>
              <w:rPr/>
              <w:t>  </w:t>
            </w:r>
          </w:p>
        </w:tc>
        <w:tc>
          <w:tcPr>
            <w:tcW w:w="8945" w:type="dxa"/>
            <w:tcBorders/>
          </w:tcPr>
          <w:p>
            <w:pPr>
              <w:pStyle w:val="TableContents"/>
              <w:bidi w:val="0"/>
              <w:spacing w:before="0" w:after="283"/>
              <w:jc w:val="left"/>
              <w:rPr/>
            </w:pPr>
            <w:r>
              <w:rPr/>
              <w:t>Form of Unit Agreement and Unit Certificate.</w:t>
            </w:r>
          </w:p>
        </w:tc>
      </w:tr>
      <w:tr>
        <w:trPr>
          <w:trHeight w:val="120" w:hRule="atLeast"/>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tcPr>
          <w:p>
            <w:pPr>
              <w:pStyle w:val="TableContents"/>
              <w:bidi w:val="0"/>
              <w:spacing w:before="0" w:after="283"/>
              <w:jc w:val="left"/>
              <w:rPr/>
            </w:pPr>
            <w:r>
              <w:rPr/>
              <w:t> </w:t>
            </w:r>
            <w:r>
              <w:rPr/>
              <w:t>5.1</w:t>
            </w:r>
          </w:p>
        </w:tc>
        <w:tc>
          <w:tcPr>
            <w:tcW w:w="565" w:type="dxa"/>
            <w:tcBorders/>
            <w:vAlign w:val="bottom"/>
          </w:tcPr>
          <w:p>
            <w:pPr>
              <w:pStyle w:val="TableContents"/>
              <w:bidi w:val="0"/>
              <w:spacing w:before="0" w:after="283"/>
              <w:jc w:val="left"/>
              <w:rPr/>
            </w:pPr>
            <w:r>
              <w:rPr/>
              <w:t>  </w:t>
            </w:r>
          </w:p>
        </w:tc>
        <w:tc>
          <w:tcPr>
            <w:tcW w:w="8945" w:type="dxa"/>
            <w:tcBorders/>
          </w:tcPr>
          <w:p>
            <w:pPr>
              <w:pStyle w:val="TableContents"/>
              <w:bidi w:val="0"/>
              <w:spacing w:before="0" w:after="283"/>
              <w:jc w:val="left"/>
              <w:rPr/>
            </w:pPr>
            <w:hyperlink w:anchor="d161734dex51.htm">
              <w:r>
                <w:rPr>
                  <w:rStyle w:val="InternetLink"/>
                </w:rPr>
                <w:t xml:space="preserve">Opinion of Walkers (Cayman) LLP, relating to the base prospectus. </w:t>
              </w:r>
            </w:hyperlink>
          </w:p>
        </w:tc>
      </w:tr>
      <w:tr>
        <w:trPr>
          <w:trHeight w:val="120" w:hRule="atLeast"/>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tcPr>
          <w:p>
            <w:pPr>
              <w:pStyle w:val="TableContents"/>
              <w:bidi w:val="0"/>
              <w:spacing w:before="0" w:after="283"/>
              <w:jc w:val="left"/>
              <w:rPr/>
            </w:pPr>
            <w:r>
              <w:rPr/>
              <w:t> </w:t>
            </w:r>
            <w:r>
              <w:rPr/>
              <w:t>5.2</w:t>
            </w:r>
          </w:p>
        </w:tc>
        <w:tc>
          <w:tcPr>
            <w:tcW w:w="565" w:type="dxa"/>
            <w:tcBorders/>
            <w:vAlign w:val="bottom"/>
          </w:tcPr>
          <w:p>
            <w:pPr>
              <w:pStyle w:val="TableContents"/>
              <w:bidi w:val="0"/>
              <w:spacing w:before="0" w:after="283"/>
              <w:jc w:val="left"/>
              <w:rPr/>
            </w:pPr>
            <w:r>
              <w:rPr/>
              <w:t>  </w:t>
            </w:r>
          </w:p>
        </w:tc>
        <w:tc>
          <w:tcPr>
            <w:tcW w:w="8945" w:type="dxa"/>
            <w:tcBorders/>
          </w:tcPr>
          <w:p>
            <w:pPr>
              <w:pStyle w:val="TableContents"/>
              <w:bidi w:val="0"/>
              <w:spacing w:before="0" w:after="283"/>
              <w:jc w:val="left"/>
              <w:rPr/>
            </w:pPr>
            <w:hyperlink w:anchor="d161734dex52.htm">
              <w:r>
                <w:rPr>
                  <w:rStyle w:val="InternetLink"/>
                </w:rPr>
                <w:t xml:space="preserve">Opinion of Walkers (Cayman) LLP, relating to the sales agreement prospectus. </w:t>
              </w:r>
            </w:hyperlink>
          </w:p>
        </w:tc>
      </w:tr>
      <w:tr>
        <w:trPr>
          <w:trHeight w:val="120" w:hRule="atLeast"/>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tcPr>
          <w:p>
            <w:pPr>
              <w:pStyle w:val="TableContents"/>
              <w:bidi w:val="0"/>
              <w:spacing w:before="0" w:after="283"/>
              <w:jc w:val="left"/>
              <w:rPr/>
            </w:pPr>
            <w:r>
              <w:rPr/>
              <w:t>10.1</w:t>
            </w:r>
          </w:p>
        </w:tc>
        <w:tc>
          <w:tcPr>
            <w:tcW w:w="565" w:type="dxa"/>
            <w:tcBorders/>
            <w:vAlign w:val="bottom"/>
          </w:tcPr>
          <w:p>
            <w:pPr>
              <w:pStyle w:val="TableContents"/>
              <w:bidi w:val="0"/>
              <w:spacing w:before="0" w:after="283"/>
              <w:jc w:val="left"/>
              <w:rPr/>
            </w:pPr>
            <w:r>
              <w:rPr/>
              <w:t>  </w:t>
            </w:r>
          </w:p>
        </w:tc>
        <w:tc>
          <w:tcPr>
            <w:tcW w:w="8945" w:type="dxa"/>
            <w:tcBorders/>
          </w:tcPr>
          <w:p>
            <w:pPr>
              <w:pStyle w:val="TableContents"/>
              <w:bidi w:val="0"/>
              <w:spacing w:before="0" w:after="283"/>
              <w:jc w:val="left"/>
              <w:rPr/>
            </w:pPr>
            <w:hyperlink r:id="rId41">
              <w:r>
                <w:rPr>
                  <w:rStyle w:val="InternetLink"/>
                </w:rPr>
                <w:t>Form of Indemnification Agreement for directors and officers (incorporated by reference to Exhibit  10.1 to Registrant’s Current Report on Form 8-K (File No. 001-39655) filed with the SEC on July 20, 2026).</w:t>
              </w:r>
            </w:hyperlink>
          </w:p>
        </w:tc>
      </w:tr>
      <w:tr>
        <w:trPr>
          <w:trHeight w:val="120" w:hRule="atLeast"/>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tcPr>
          <w:p>
            <w:pPr>
              <w:pStyle w:val="TableContents"/>
              <w:bidi w:val="0"/>
              <w:spacing w:before="0" w:after="283"/>
              <w:jc w:val="left"/>
              <w:rPr/>
            </w:pPr>
            <w:r>
              <w:rPr/>
              <w:t>23.1</w:t>
            </w:r>
          </w:p>
        </w:tc>
        <w:tc>
          <w:tcPr>
            <w:tcW w:w="565" w:type="dxa"/>
            <w:tcBorders/>
            <w:vAlign w:val="bottom"/>
          </w:tcPr>
          <w:p>
            <w:pPr>
              <w:pStyle w:val="TableContents"/>
              <w:bidi w:val="0"/>
              <w:spacing w:before="0" w:after="283"/>
              <w:jc w:val="left"/>
              <w:rPr/>
            </w:pPr>
            <w:r>
              <w:rPr/>
              <w:t>  </w:t>
            </w:r>
          </w:p>
        </w:tc>
        <w:tc>
          <w:tcPr>
            <w:tcW w:w="8945" w:type="dxa"/>
            <w:tcBorders/>
          </w:tcPr>
          <w:p>
            <w:pPr>
              <w:pStyle w:val="TableContents"/>
              <w:bidi w:val="0"/>
              <w:spacing w:before="0" w:after="283"/>
              <w:jc w:val="left"/>
              <w:rPr/>
            </w:pPr>
            <w:hyperlink w:anchor="d161734dex51.htm">
              <w:r>
                <w:rPr>
                  <w:rStyle w:val="InternetLink"/>
                </w:rPr>
                <w:t xml:space="preserve">Consent of Walkers (Cayman) LLP (included in Exhibit 5.1). </w:t>
              </w:r>
            </w:hyperlink>
          </w:p>
        </w:tc>
      </w:tr>
      <w:tr>
        <w:trPr>
          <w:trHeight w:val="120" w:hRule="atLeast"/>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tcPr>
          <w:p>
            <w:pPr>
              <w:pStyle w:val="TableContents"/>
              <w:bidi w:val="0"/>
              <w:spacing w:before="0" w:after="283"/>
              <w:jc w:val="left"/>
              <w:rPr/>
            </w:pPr>
            <w:r>
              <w:rPr/>
              <w:t>23.2</w:t>
            </w:r>
          </w:p>
        </w:tc>
        <w:tc>
          <w:tcPr>
            <w:tcW w:w="565" w:type="dxa"/>
            <w:tcBorders/>
            <w:vAlign w:val="bottom"/>
          </w:tcPr>
          <w:p>
            <w:pPr>
              <w:pStyle w:val="TableContents"/>
              <w:bidi w:val="0"/>
              <w:spacing w:before="0" w:after="283"/>
              <w:jc w:val="left"/>
              <w:rPr/>
            </w:pPr>
            <w:r>
              <w:rPr/>
              <w:t>  </w:t>
            </w:r>
          </w:p>
        </w:tc>
        <w:tc>
          <w:tcPr>
            <w:tcW w:w="8945" w:type="dxa"/>
            <w:tcBorders/>
          </w:tcPr>
          <w:p>
            <w:pPr>
              <w:pStyle w:val="TableContents"/>
              <w:bidi w:val="0"/>
              <w:spacing w:before="0" w:after="283"/>
              <w:jc w:val="left"/>
              <w:rPr/>
            </w:pPr>
            <w:hyperlink w:anchor="d161734dex232.htm">
              <w:r>
                <w:rPr>
                  <w:rStyle w:val="InternetLink"/>
                </w:rPr>
                <w:t xml:space="preserve">Consent of EY Godkendt Revisionspartnerselskab, independent registered public accounting firm. </w:t>
              </w:r>
            </w:hyperlink>
          </w:p>
        </w:tc>
      </w:tr>
      <w:tr>
        <w:trPr>
          <w:trHeight w:val="120" w:hRule="atLeast"/>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tcPr>
          <w:p>
            <w:pPr>
              <w:pStyle w:val="TableContents"/>
              <w:bidi w:val="0"/>
              <w:spacing w:before="0" w:after="283"/>
              <w:jc w:val="left"/>
              <w:rPr/>
            </w:pPr>
            <w:r>
              <w:rPr/>
              <w:t>24.1</w:t>
            </w:r>
          </w:p>
        </w:tc>
        <w:tc>
          <w:tcPr>
            <w:tcW w:w="565" w:type="dxa"/>
            <w:tcBorders/>
            <w:vAlign w:val="bottom"/>
          </w:tcPr>
          <w:p>
            <w:pPr>
              <w:pStyle w:val="TableContents"/>
              <w:bidi w:val="0"/>
              <w:spacing w:before="0" w:after="283"/>
              <w:jc w:val="left"/>
              <w:rPr/>
            </w:pPr>
            <w:r>
              <w:rPr/>
              <w:t>  </w:t>
            </w:r>
          </w:p>
        </w:tc>
        <w:tc>
          <w:tcPr>
            <w:tcW w:w="8945" w:type="dxa"/>
            <w:tcBorders/>
          </w:tcPr>
          <w:p>
            <w:pPr>
              <w:pStyle w:val="TableContents"/>
              <w:bidi w:val="0"/>
              <w:spacing w:before="0" w:after="283"/>
              <w:jc w:val="left"/>
              <w:rPr/>
            </w:pPr>
            <w:hyperlink w:anchor="sig">
              <w:r>
                <w:rPr>
                  <w:rStyle w:val="InternetLink"/>
                </w:rPr>
                <w:t xml:space="preserve">Power of Attorney (included on the signature page to the registration statement). </w:t>
              </w:r>
            </w:hyperlink>
          </w:p>
        </w:tc>
      </w:tr>
      <w:tr>
        <w:trPr>
          <w:trHeight w:val="120" w:hRule="atLeast"/>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tcPr>
          <w:p>
            <w:pPr>
              <w:pStyle w:val="TableContents"/>
              <w:bidi w:val="0"/>
              <w:spacing w:before="0" w:after="283"/>
              <w:jc w:val="left"/>
              <w:rPr/>
            </w:pPr>
            <w:r>
              <w:rPr/>
              <w:t>25.1**</w:t>
            </w:r>
          </w:p>
        </w:tc>
        <w:tc>
          <w:tcPr>
            <w:tcW w:w="565" w:type="dxa"/>
            <w:tcBorders/>
            <w:vAlign w:val="bottom"/>
          </w:tcPr>
          <w:p>
            <w:pPr>
              <w:pStyle w:val="TableContents"/>
              <w:bidi w:val="0"/>
              <w:spacing w:before="0" w:after="283"/>
              <w:jc w:val="left"/>
              <w:rPr/>
            </w:pPr>
            <w:r>
              <w:rPr/>
              <w:t>  </w:t>
            </w:r>
          </w:p>
        </w:tc>
        <w:tc>
          <w:tcPr>
            <w:tcW w:w="8945" w:type="dxa"/>
            <w:tcBorders/>
          </w:tcPr>
          <w:p>
            <w:pPr>
              <w:pStyle w:val="TableContents"/>
              <w:bidi w:val="0"/>
              <w:spacing w:before="0" w:after="283"/>
              <w:jc w:val="left"/>
              <w:rPr/>
            </w:pPr>
            <w:r>
              <w:rPr/>
              <w:t>Statement of Eligibility of Trustee under the Indenture.</w:t>
            </w:r>
          </w:p>
        </w:tc>
      </w:tr>
      <w:tr>
        <w:trPr>
          <w:trHeight w:val="120" w:hRule="atLeast"/>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tcPr>
          <w:p>
            <w:pPr>
              <w:pStyle w:val="TableContents"/>
              <w:bidi w:val="0"/>
              <w:spacing w:before="0" w:after="283"/>
              <w:jc w:val="left"/>
              <w:rPr/>
            </w:pPr>
            <w:r>
              <w:rPr/>
              <w:t>107</w:t>
            </w:r>
          </w:p>
        </w:tc>
        <w:tc>
          <w:tcPr>
            <w:tcW w:w="565" w:type="dxa"/>
            <w:tcBorders/>
            <w:vAlign w:val="bottom"/>
          </w:tcPr>
          <w:p>
            <w:pPr>
              <w:pStyle w:val="TableContents"/>
              <w:bidi w:val="0"/>
              <w:spacing w:before="0" w:after="283"/>
              <w:jc w:val="left"/>
              <w:rPr/>
            </w:pPr>
            <w:r>
              <w:rPr/>
              <w:t>  </w:t>
            </w:r>
          </w:p>
        </w:tc>
        <w:tc>
          <w:tcPr>
            <w:tcW w:w="8945" w:type="dxa"/>
            <w:tcBorders/>
          </w:tcPr>
          <w:p>
            <w:pPr>
              <w:pStyle w:val="TableContents"/>
              <w:bidi w:val="0"/>
              <w:spacing w:before="0" w:after="283"/>
              <w:jc w:val="left"/>
              <w:rPr/>
            </w:pPr>
            <w:hyperlink r:id="rId42">
              <w:r>
                <w:rPr>
                  <w:rStyle w:val="InternetLink"/>
                </w:rPr>
                <w:t xml:space="preserve">Filing Fee Table (incorporated by reference to Exhibit 107 to Registrant’s Registration Statement on Form S-3ASR (File No. 333-293343) filed with the SEC on February 10, 2026). </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filed, if necessary, by amendment or as an exhibit to a document to be incorporated or deemed to be incorporated by reference in this registration statement, including a Current Report on Form 8-K.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filed in accordance with the requirements of Section 305(b)(2) of the Trust Indenture Act of 1939, as amended, and the applicable rules thereunder.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Item 17. Undertakings. </w:t>
      </w:r>
    </w:p>
    <w:p>
      <w:pPr>
        <w:pStyle w:val="TextBody"/>
        <w:bidi w:val="0"/>
        <w:spacing w:before="120" w:after="0"/>
        <w:jc w:val="left"/>
        <w:rPr>
          <w:rFonts w:ascii="Times New Roman" w:hAnsi="Times New Roman"/>
          <w:sz w:val="20"/>
        </w:rPr>
      </w:pPr>
      <w:r>
        <w:rPr>
          <w:rFonts w:ascii="Times New Roman" w:hAnsi="Times New Roman"/>
          <w:sz w:val="20"/>
        </w:rPr>
        <w:t xml:space="preserve">The undersigned registrant hereby undertakes: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this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prospectus required by section 10(a)(3) of the Securities Act of 1933;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Filing Fee Tables” or “Calculation of Registration Fee” table, as applicable, in the effective registration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material information with respect to the plan of distribution not previously disclosed in the registration statement or any material change to such information in the registration statement; </w:t>
            </w:r>
          </w:p>
        </w:tc>
      </w:tr>
    </w:tbl>
    <w:p>
      <w:pPr>
        <w:pStyle w:val="TextBody"/>
        <w:bidi w:val="0"/>
        <w:spacing w:before="24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paragraphs (1)(i), (1)(ii) and (1)(iii) do not apply if the information required to be included in a post-effective amendment by those paragraphs is contained in reports filed with or furnished to the Commission by the registrant pursuant to section 13 or 15(d) of the Securities Exchange Act of 1934 (15 U.S.C. 78m or 78o(d)) that are incorporated by reference in the registration statement, or is contained in a form of prospectus filed pursuant to Rule 424(b) that is part of the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under the Securities Act of 1933 to any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prospectus filed by the registrant pursuant to Rule 424(b)(3) shall be deemed to be part of the registration statement as of the date the filed prospectus was deemed part of and included in the registration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4"/>
        <w:gridCol w:w="8881"/>
      </w:tblGrid>
      <w:tr>
        <w:trPr/>
        <w:tc>
          <w:tcPr>
            <w:tcW w:w="1324" w:type="dxa"/>
            <w:tcBorders/>
            <w:vAlign w:val="center"/>
          </w:tcPr>
          <w:p>
            <w:pPr>
              <w:pStyle w:val="TableContents"/>
              <w:bidi w:val="0"/>
              <w:spacing w:before="0" w:after="283"/>
              <w:jc w:val="left"/>
              <w:rPr/>
            </w:pPr>
            <w:r>
              <w:rPr/>
              <w:t> </w:t>
            </w:r>
          </w:p>
        </w:tc>
        <w:tc>
          <w:tcPr>
            <w:tcW w:w="8881" w:type="dxa"/>
            <w:tcBorders/>
          </w:tcPr>
          <w:p>
            <w:pPr>
              <w:pStyle w:val="TableContents"/>
              <w:bidi w:val="0"/>
              <w:spacing w:before="0" w:after="283"/>
              <w:jc w:val="left"/>
              <w:rPr/>
            </w:pPr>
            <w:r>
              <w:rPr/>
              <w:t xml:space="preserve">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preliminary prospectus or prospectus of the undersigned registrant relating to the offering required to be filed pursuant to Rule 424;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free writing prospectus relating to the offering prepared by or on behalf of the undersigned registrant or used or referred to by the undersigned registrant;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any other free writing prospectus relating to the offering containing material information about the undersigned registrant or its securities provided by or on behalf of the undersigned registrant;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communication that is an offer in the offering made by the undersigned registrant to the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(8)</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file an application for the purpose of determining the eligibility of the trustee to act under subsection (a) of section 310 of the Trust Indenture Act (“Act”) in accordance with the rules and regulations prescribed by the Commission under section 305(b)(2) of the 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sig"/>
      <w:bookmarkEnd w:id="27"/>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Waltham, Massachusetts, on August 10,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0"/>
        <w:gridCol w:w="60"/>
        <w:gridCol w:w="3622"/>
      </w:tblGrid>
      <w:tr>
        <w:trPr/>
        <w:tc>
          <w:tcPr>
            <w:tcW w:w="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Damora Therapeutics, Inc.</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2" w:type="dxa"/>
            <w:tcBorders>
              <w:bottom w:val="single" w:sz="2" w:space="0" w:color="000000"/>
            </w:tcBorders>
            <w:tcMar>
              <w:bottom w:w="28" w:type="dxa"/>
            </w:tcMar>
          </w:tcPr>
          <w:p>
            <w:pPr>
              <w:pStyle w:val="TableContents"/>
              <w:bidi w:val="0"/>
              <w:spacing w:before="0" w:after="283"/>
              <w:jc w:val="left"/>
              <w:rPr/>
            </w:pPr>
            <w:r>
              <w:rPr/>
              <w:t>/s/ Jennifer Jarrett</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vAlign w:val="bottom"/>
          </w:tcPr>
          <w:p>
            <w:pPr>
              <w:pStyle w:val="TableContents"/>
              <w:bidi w:val="0"/>
              <w:spacing w:before="0" w:after="283"/>
              <w:jc w:val="left"/>
              <w:rPr/>
            </w:pPr>
            <w:r>
              <w:rPr/>
              <w:t>Jennifer Jarrett</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vAlign w:val="bottom"/>
          </w:tcPr>
          <w:p>
            <w:pPr>
              <w:pStyle w:val="TableContents"/>
              <w:bidi w:val="0"/>
              <w:spacing w:before="0" w:after="283"/>
              <w:jc w:val="left"/>
              <w:rPr/>
            </w:pPr>
            <w:r>
              <w:rPr/>
              <w:t>President and Chief Executive Officer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hereby constitutes and appoints Jennifer Jarrett and Brian Burkavage, and each of them, as his or her true and lawful attorneys-in-fact and agents, each with full power of substitution and resubstitution, for him or her and in his or her name, place or stead, in any and all capacities (including, without limitation, the capacities listed below), to sign any and all amendments (including post-effective amendments) to this registration statement, and to sign any registration statement for the same offering covered by this registration statement that is to be effective upon filing pursuant to Rule 462(b) promulgated under the Securities Act of 1933, as amended, and all post-effective amendments thereto, and to file the same, with all exhibits thereto and all other documents in connection therewith, with the Securities and Exchange Commission, and hereby grants to such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set forth opposite their names.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912"/>
        <w:gridCol w:w="120"/>
        <w:gridCol w:w="3906"/>
        <w:gridCol w:w="201"/>
        <w:gridCol w:w="2066"/>
      </w:tblGrid>
      <w:tr>
        <w:trPr/>
        <w:tc>
          <w:tcPr>
            <w:tcW w:w="391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906"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r>
      <w:tr>
        <w:trPr/>
        <w:tc>
          <w:tcPr>
            <w:tcW w:w="3912" w:type="dxa"/>
            <w:tcBorders/>
            <w:vAlign w:val="bottom"/>
          </w:tcPr>
          <w:p>
            <w:pPr>
              <w:pStyle w:val="TableContents"/>
              <w:bidi w:val="0"/>
              <w:spacing w:before="0" w:after="283"/>
              <w:jc w:val="center"/>
              <w:rPr>
                <w:b/>
              </w:rPr>
            </w:pPr>
            <w:r>
              <w:rPr>
                <w:b/>
              </w:rPr>
              <w:t>Signature</w:t>
            </w:r>
          </w:p>
        </w:tc>
        <w:tc>
          <w:tcPr>
            <w:tcW w:w="120" w:type="dxa"/>
            <w:tcBorders/>
            <w:vAlign w:val="bottom"/>
          </w:tcPr>
          <w:p>
            <w:pPr>
              <w:pStyle w:val="TableContents"/>
              <w:bidi w:val="0"/>
              <w:spacing w:before="0" w:after="283"/>
              <w:jc w:val="left"/>
              <w:rPr/>
            </w:pPr>
            <w:r>
              <w:rPr/>
              <w:t>  </w:t>
            </w:r>
          </w:p>
        </w:tc>
        <w:tc>
          <w:tcPr>
            <w:tcW w:w="3906" w:type="dxa"/>
            <w:tcBorders/>
            <w:vAlign w:val="bottom"/>
          </w:tcPr>
          <w:p>
            <w:pPr>
              <w:pStyle w:val="TableContents"/>
              <w:bidi w:val="0"/>
              <w:spacing w:before="0" w:after="283"/>
              <w:jc w:val="center"/>
              <w:rPr>
                <w:b/>
              </w:rPr>
            </w:pPr>
            <w:r>
              <w:rPr>
                <w:b/>
              </w:rPr>
              <w:t>Title</w:t>
            </w:r>
          </w:p>
        </w:tc>
        <w:tc>
          <w:tcPr>
            <w:tcW w:w="201" w:type="dxa"/>
            <w:tcBorders/>
            <w:vAlign w:val="bottom"/>
          </w:tcPr>
          <w:p>
            <w:pPr>
              <w:pStyle w:val="TableContents"/>
              <w:bidi w:val="0"/>
              <w:spacing w:before="0" w:after="283"/>
              <w:jc w:val="left"/>
              <w:rPr/>
            </w:pPr>
            <w:r>
              <w:rPr/>
              <w:t> </w:t>
            </w:r>
          </w:p>
        </w:tc>
        <w:tc>
          <w:tcPr>
            <w:tcW w:w="2066" w:type="dxa"/>
            <w:tcBorders/>
            <w:vAlign w:val="bottom"/>
          </w:tcPr>
          <w:p>
            <w:pPr>
              <w:pStyle w:val="TableContents"/>
              <w:bidi w:val="0"/>
              <w:spacing w:before="0" w:after="283"/>
              <w:jc w:val="center"/>
              <w:rPr>
                <w:b/>
              </w:rPr>
            </w:pPr>
            <w:r>
              <w:rPr>
                <w:b/>
              </w:rPr>
              <w:t>Date</w:t>
            </w:r>
          </w:p>
        </w:tc>
      </w:tr>
      <w:tr>
        <w:trPr>
          <w:trHeight w:val="240" w:hRule="atLeast"/>
        </w:trPr>
        <w:tc>
          <w:tcPr>
            <w:tcW w:w="3912" w:type="dxa"/>
            <w:tcBorders/>
            <w:vAlign w:val="center"/>
          </w:tcPr>
          <w:p>
            <w:pPr>
              <w:pStyle w:val="TableContents"/>
              <w:bidi w:val="0"/>
              <w:spacing w:before="0" w:after="283"/>
              <w:jc w:val="left"/>
              <w:rPr>
                <w:sz w:val="4"/>
                <w:szCs w:val="4"/>
              </w:rPr>
            </w:pPr>
            <w:r>
              <w:rPr>
                <w:sz w:val="4"/>
                <w:szCs w:val="4"/>
              </w:rPr>
            </w:r>
          </w:p>
        </w:tc>
        <w:tc>
          <w:tcPr>
            <w:tcW w:w="4026" w:type="dxa"/>
            <w:gridSpan w:val="2"/>
            <w:tcBorders/>
            <w:vAlign w:val="center"/>
          </w:tcPr>
          <w:p>
            <w:pPr>
              <w:pStyle w:val="TableContents"/>
              <w:bidi w:val="0"/>
              <w:spacing w:before="0" w:after="283"/>
              <w:jc w:val="left"/>
              <w:rPr>
                <w:sz w:val="4"/>
                <w:szCs w:val="4"/>
              </w:rPr>
            </w:pPr>
            <w:r>
              <w:rPr>
                <w:sz w:val="4"/>
                <w:szCs w:val="4"/>
              </w:rPr>
            </w:r>
          </w:p>
        </w:tc>
        <w:tc>
          <w:tcPr>
            <w:tcW w:w="2267" w:type="dxa"/>
            <w:gridSpan w:val="2"/>
            <w:tcBorders/>
            <w:vAlign w:val="center"/>
          </w:tcPr>
          <w:p>
            <w:pPr>
              <w:pStyle w:val="TableContents"/>
              <w:bidi w:val="0"/>
              <w:spacing w:before="0" w:after="283"/>
              <w:jc w:val="left"/>
              <w:rPr>
                <w:sz w:val="4"/>
                <w:szCs w:val="4"/>
              </w:rPr>
            </w:pPr>
            <w:r>
              <w:rPr>
                <w:sz w:val="4"/>
                <w:szCs w:val="4"/>
              </w:rPr>
            </w:r>
          </w:p>
        </w:tc>
      </w:tr>
      <w:tr>
        <w:trPr/>
        <w:tc>
          <w:tcPr>
            <w:tcW w:w="391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Jennifer Jarrett</w:t>
            </w:r>
          </w:p>
          <w:p>
            <w:pPr>
              <w:pStyle w:val="TableContents"/>
              <w:bidi w:val="0"/>
              <w:spacing w:before="0" w:after="20"/>
              <w:jc w:val="center"/>
              <w:rPr>
                <w:rFonts w:ascii="Times New Roman" w:hAnsi="Times New Roman"/>
                <w:sz w:val="20"/>
              </w:rPr>
            </w:pPr>
            <w:r>
              <w:rPr>
                <w:rFonts w:ascii="Times New Roman" w:hAnsi="Times New Roman"/>
                <w:sz w:val="20"/>
              </w:rPr>
              <w:t>Jennifer Jarrett</w:t>
            </w:r>
          </w:p>
        </w:tc>
        <w:tc>
          <w:tcPr>
            <w:tcW w:w="120" w:type="dxa"/>
            <w:tcBorders/>
            <w:vAlign w:val="bottom"/>
          </w:tcPr>
          <w:p>
            <w:pPr>
              <w:pStyle w:val="TableContents"/>
              <w:bidi w:val="0"/>
              <w:spacing w:before="0" w:after="283"/>
              <w:jc w:val="left"/>
              <w:rPr/>
            </w:pPr>
            <w:r>
              <w:rPr/>
              <w:t>  </w:t>
            </w:r>
          </w:p>
        </w:tc>
        <w:tc>
          <w:tcPr>
            <w:tcW w:w="3906" w:type="dxa"/>
            <w:tcBorders/>
          </w:tcPr>
          <w:p>
            <w:pPr>
              <w:pStyle w:val="TableContents"/>
              <w:bidi w:val="0"/>
              <w:spacing w:before="0" w:after="0"/>
              <w:jc w:val="center"/>
              <w:rPr>
                <w:rFonts w:ascii="Times New Roman" w:hAnsi="Times New Roman"/>
                <w:sz w:val="20"/>
              </w:rPr>
            </w:pPr>
            <w:r>
              <w:rPr>
                <w:rFonts w:ascii="Times New Roman" w:hAnsi="Times New Roman"/>
                <w:sz w:val="20"/>
              </w:rPr>
              <w:t>President, Chief Executive Officer and Director (Principal Executive Officer)</w:t>
            </w:r>
          </w:p>
        </w:tc>
        <w:tc>
          <w:tcPr>
            <w:tcW w:w="201" w:type="dxa"/>
            <w:tcBorders/>
            <w:vAlign w:val="bottom"/>
          </w:tcPr>
          <w:p>
            <w:pPr>
              <w:pStyle w:val="TableContents"/>
              <w:bidi w:val="0"/>
              <w:spacing w:before="0" w:after="283"/>
              <w:jc w:val="left"/>
              <w:rPr/>
            </w:pPr>
            <w:r>
              <w:rPr/>
              <w:t> </w:t>
            </w:r>
          </w:p>
        </w:tc>
        <w:tc>
          <w:tcPr>
            <w:tcW w:w="2066" w:type="dxa"/>
            <w:tcBorders/>
          </w:tcPr>
          <w:p>
            <w:pPr>
              <w:pStyle w:val="TableContents"/>
              <w:bidi w:val="0"/>
              <w:spacing w:before="0" w:after="283"/>
              <w:jc w:val="center"/>
              <w:rPr/>
            </w:pPr>
            <w:r>
              <w:rPr/>
              <w:t>August 10, 2026</w:t>
            </w:r>
          </w:p>
        </w:tc>
      </w:tr>
      <w:tr>
        <w:trPr>
          <w:trHeight w:val="240" w:hRule="atLeast"/>
        </w:trPr>
        <w:tc>
          <w:tcPr>
            <w:tcW w:w="3912" w:type="dxa"/>
            <w:tcBorders/>
            <w:vAlign w:val="center"/>
          </w:tcPr>
          <w:p>
            <w:pPr>
              <w:pStyle w:val="TableContents"/>
              <w:bidi w:val="0"/>
              <w:spacing w:before="0" w:after="283"/>
              <w:jc w:val="left"/>
              <w:rPr>
                <w:sz w:val="4"/>
                <w:szCs w:val="4"/>
              </w:rPr>
            </w:pPr>
            <w:r>
              <w:rPr>
                <w:sz w:val="4"/>
                <w:szCs w:val="4"/>
              </w:rPr>
            </w:r>
          </w:p>
        </w:tc>
        <w:tc>
          <w:tcPr>
            <w:tcW w:w="4026" w:type="dxa"/>
            <w:gridSpan w:val="2"/>
            <w:tcBorders/>
            <w:vAlign w:val="center"/>
          </w:tcPr>
          <w:p>
            <w:pPr>
              <w:pStyle w:val="TableContents"/>
              <w:bidi w:val="0"/>
              <w:spacing w:before="0" w:after="283"/>
              <w:jc w:val="left"/>
              <w:rPr>
                <w:sz w:val="4"/>
                <w:szCs w:val="4"/>
              </w:rPr>
            </w:pPr>
            <w:r>
              <w:rPr>
                <w:sz w:val="4"/>
                <w:szCs w:val="4"/>
              </w:rPr>
            </w:r>
          </w:p>
        </w:tc>
        <w:tc>
          <w:tcPr>
            <w:tcW w:w="2267" w:type="dxa"/>
            <w:gridSpan w:val="2"/>
            <w:tcBorders/>
            <w:vAlign w:val="center"/>
          </w:tcPr>
          <w:p>
            <w:pPr>
              <w:pStyle w:val="TableContents"/>
              <w:bidi w:val="0"/>
              <w:spacing w:before="0" w:after="283"/>
              <w:jc w:val="left"/>
              <w:rPr>
                <w:sz w:val="4"/>
                <w:szCs w:val="4"/>
              </w:rPr>
            </w:pPr>
            <w:r>
              <w:rPr>
                <w:sz w:val="4"/>
                <w:szCs w:val="4"/>
              </w:rPr>
            </w:r>
          </w:p>
        </w:tc>
      </w:tr>
      <w:tr>
        <w:trPr/>
        <w:tc>
          <w:tcPr>
            <w:tcW w:w="391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Brian Burkavage</w:t>
            </w:r>
          </w:p>
          <w:p>
            <w:pPr>
              <w:pStyle w:val="TableContents"/>
              <w:bidi w:val="0"/>
              <w:spacing w:before="0" w:after="20"/>
              <w:jc w:val="center"/>
              <w:rPr>
                <w:rFonts w:ascii="Times New Roman" w:hAnsi="Times New Roman"/>
                <w:sz w:val="20"/>
              </w:rPr>
            </w:pPr>
            <w:r>
              <w:rPr>
                <w:rFonts w:ascii="Times New Roman" w:hAnsi="Times New Roman"/>
                <w:sz w:val="20"/>
              </w:rPr>
              <w:t>Brian Burkavage</w:t>
            </w:r>
          </w:p>
        </w:tc>
        <w:tc>
          <w:tcPr>
            <w:tcW w:w="120" w:type="dxa"/>
            <w:tcBorders/>
            <w:vAlign w:val="bottom"/>
          </w:tcPr>
          <w:p>
            <w:pPr>
              <w:pStyle w:val="TableContents"/>
              <w:bidi w:val="0"/>
              <w:spacing w:before="0" w:after="283"/>
              <w:jc w:val="left"/>
              <w:rPr/>
            </w:pPr>
            <w:r>
              <w:rPr/>
              <w:t>  </w:t>
            </w:r>
          </w:p>
        </w:tc>
        <w:tc>
          <w:tcPr>
            <w:tcW w:w="3906" w:type="dxa"/>
            <w:tcBorders/>
          </w:tcPr>
          <w:p>
            <w:pPr>
              <w:pStyle w:val="TableContents"/>
              <w:bidi w:val="0"/>
              <w:spacing w:before="0" w:after="0"/>
              <w:jc w:val="center"/>
              <w:rPr>
                <w:rFonts w:ascii="Times New Roman" w:hAnsi="Times New Roman"/>
                <w:sz w:val="20"/>
              </w:rPr>
            </w:pPr>
            <w:r>
              <w:rPr>
                <w:rFonts w:ascii="Times New Roman" w:hAnsi="Times New Roman"/>
                <w:sz w:val="20"/>
              </w:rPr>
              <w:t>Senior Vice President, Finance (Principal Financial Officer and Principal Accounting Officer)</w:t>
            </w:r>
          </w:p>
        </w:tc>
        <w:tc>
          <w:tcPr>
            <w:tcW w:w="201" w:type="dxa"/>
            <w:tcBorders/>
            <w:vAlign w:val="bottom"/>
          </w:tcPr>
          <w:p>
            <w:pPr>
              <w:pStyle w:val="TableContents"/>
              <w:bidi w:val="0"/>
              <w:spacing w:before="0" w:after="283"/>
              <w:jc w:val="left"/>
              <w:rPr/>
            </w:pPr>
            <w:r>
              <w:rPr/>
              <w:t> </w:t>
            </w:r>
          </w:p>
        </w:tc>
        <w:tc>
          <w:tcPr>
            <w:tcW w:w="2066" w:type="dxa"/>
            <w:tcBorders/>
          </w:tcPr>
          <w:p>
            <w:pPr>
              <w:pStyle w:val="TableContents"/>
              <w:bidi w:val="0"/>
              <w:spacing w:before="0" w:after="283"/>
              <w:jc w:val="center"/>
              <w:rPr/>
            </w:pPr>
            <w:r>
              <w:rPr/>
              <w:t>August 10, 2026</w:t>
            </w:r>
          </w:p>
        </w:tc>
      </w:tr>
      <w:tr>
        <w:trPr>
          <w:trHeight w:val="240" w:hRule="atLeast"/>
        </w:trPr>
        <w:tc>
          <w:tcPr>
            <w:tcW w:w="3912" w:type="dxa"/>
            <w:tcBorders/>
            <w:vAlign w:val="center"/>
          </w:tcPr>
          <w:p>
            <w:pPr>
              <w:pStyle w:val="TableContents"/>
              <w:bidi w:val="0"/>
              <w:spacing w:before="0" w:after="283"/>
              <w:jc w:val="left"/>
              <w:rPr>
                <w:sz w:val="4"/>
                <w:szCs w:val="4"/>
              </w:rPr>
            </w:pPr>
            <w:r>
              <w:rPr>
                <w:sz w:val="4"/>
                <w:szCs w:val="4"/>
              </w:rPr>
            </w:r>
          </w:p>
        </w:tc>
        <w:tc>
          <w:tcPr>
            <w:tcW w:w="4026" w:type="dxa"/>
            <w:gridSpan w:val="2"/>
            <w:tcBorders/>
            <w:vAlign w:val="center"/>
          </w:tcPr>
          <w:p>
            <w:pPr>
              <w:pStyle w:val="TableContents"/>
              <w:bidi w:val="0"/>
              <w:spacing w:before="0" w:after="283"/>
              <w:jc w:val="left"/>
              <w:rPr>
                <w:sz w:val="4"/>
                <w:szCs w:val="4"/>
              </w:rPr>
            </w:pPr>
            <w:r>
              <w:rPr>
                <w:sz w:val="4"/>
                <w:szCs w:val="4"/>
              </w:rPr>
            </w:r>
          </w:p>
        </w:tc>
        <w:tc>
          <w:tcPr>
            <w:tcW w:w="2267" w:type="dxa"/>
            <w:gridSpan w:val="2"/>
            <w:tcBorders/>
            <w:vAlign w:val="center"/>
          </w:tcPr>
          <w:p>
            <w:pPr>
              <w:pStyle w:val="TableContents"/>
              <w:bidi w:val="0"/>
              <w:spacing w:before="0" w:after="283"/>
              <w:jc w:val="left"/>
              <w:rPr>
                <w:sz w:val="4"/>
                <w:szCs w:val="4"/>
              </w:rPr>
            </w:pPr>
            <w:r>
              <w:rPr>
                <w:sz w:val="4"/>
                <w:szCs w:val="4"/>
              </w:rPr>
            </w:r>
          </w:p>
        </w:tc>
      </w:tr>
      <w:tr>
        <w:trPr/>
        <w:tc>
          <w:tcPr>
            <w:tcW w:w="391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Peter Harwin</w:t>
            </w:r>
          </w:p>
          <w:p>
            <w:pPr>
              <w:pStyle w:val="TableContents"/>
              <w:bidi w:val="0"/>
              <w:spacing w:before="0" w:after="20"/>
              <w:jc w:val="center"/>
              <w:rPr>
                <w:rFonts w:ascii="Times New Roman" w:hAnsi="Times New Roman"/>
                <w:sz w:val="20"/>
              </w:rPr>
            </w:pPr>
            <w:r>
              <w:rPr>
                <w:rFonts w:ascii="Times New Roman" w:hAnsi="Times New Roman"/>
                <w:sz w:val="20"/>
              </w:rPr>
              <w:t>Peter Harwin</w:t>
            </w:r>
          </w:p>
        </w:tc>
        <w:tc>
          <w:tcPr>
            <w:tcW w:w="120" w:type="dxa"/>
            <w:tcBorders/>
            <w:vAlign w:val="bottom"/>
          </w:tcPr>
          <w:p>
            <w:pPr>
              <w:pStyle w:val="TableContents"/>
              <w:bidi w:val="0"/>
              <w:spacing w:before="0" w:after="283"/>
              <w:jc w:val="left"/>
              <w:rPr/>
            </w:pPr>
            <w:r>
              <w:rPr/>
              <w:t>  </w:t>
            </w:r>
          </w:p>
        </w:tc>
        <w:tc>
          <w:tcPr>
            <w:tcW w:w="3906" w:type="dxa"/>
            <w:tcBorders/>
          </w:tcPr>
          <w:p>
            <w:pPr>
              <w:pStyle w:val="TableContents"/>
              <w:bidi w:val="0"/>
              <w:spacing w:before="0" w:after="0"/>
              <w:jc w:val="center"/>
              <w:rPr>
                <w:rFonts w:ascii="Times New Roman" w:hAnsi="Times New Roman"/>
                <w:sz w:val="20"/>
              </w:rPr>
            </w:pPr>
            <w:r>
              <w:rPr>
                <w:rFonts w:ascii="Times New Roman" w:hAnsi="Times New Roman"/>
                <w:sz w:val="20"/>
              </w:rPr>
              <w:t>Chairman of the Board</w:t>
            </w:r>
          </w:p>
        </w:tc>
        <w:tc>
          <w:tcPr>
            <w:tcW w:w="201" w:type="dxa"/>
            <w:tcBorders/>
            <w:vAlign w:val="bottom"/>
          </w:tcPr>
          <w:p>
            <w:pPr>
              <w:pStyle w:val="TableContents"/>
              <w:bidi w:val="0"/>
              <w:spacing w:before="0" w:after="283"/>
              <w:jc w:val="left"/>
              <w:rPr/>
            </w:pPr>
            <w:r>
              <w:rPr/>
              <w:t> </w:t>
            </w:r>
          </w:p>
        </w:tc>
        <w:tc>
          <w:tcPr>
            <w:tcW w:w="2066" w:type="dxa"/>
            <w:tcBorders/>
          </w:tcPr>
          <w:p>
            <w:pPr>
              <w:pStyle w:val="TableContents"/>
              <w:bidi w:val="0"/>
              <w:spacing w:before="0" w:after="283"/>
              <w:jc w:val="center"/>
              <w:rPr/>
            </w:pPr>
            <w:r>
              <w:rPr/>
              <w:t>August 10, 2026</w:t>
            </w:r>
          </w:p>
        </w:tc>
      </w:tr>
      <w:tr>
        <w:trPr>
          <w:trHeight w:val="240" w:hRule="atLeast"/>
        </w:trPr>
        <w:tc>
          <w:tcPr>
            <w:tcW w:w="3912" w:type="dxa"/>
            <w:tcBorders/>
            <w:vAlign w:val="center"/>
          </w:tcPr>
          <w:p>
            <w:pPr>
              <w:pStyle w:val="TableContents"/>
              <w:bidi w:val="0"/>
              <w:spacing w:before="0" w:after="283"/>
              <w:jc w:val="left"/>
              <w:rPr>
                <w:sz w:val="4"/>
                <w:szCs w:val="4"/>
              </w:rPr>
            </w:pPr>
            <w:r>
              <w:rPr>
                <w:sz w:val="4"/>
                <w:szCs w:val="4"/>
              </w:rPr>
            </w:r>
          </w:p>
        </w:tc>
        <w:tc>
          <w:tcPr>
            <w:tcW w:w="4026" w:type="dxa"/>
            <w:gridSpan w:val="2"/>
            <w:tcBorders/>
            <w:vAlign w:val="center"/>
          </w:tcPr>
          <w:p>
            <w:pPr>
              <w:pStyle w:val="TableContents"/>
              <w:bidi w:val="0"/>
              <w:spacing w:before="0" w:after="283"/>
              <w:jc w:val="left"/>
              <w:rPr>
                <w:sz w:val="4"/>
                <w:szCs w:val="4"/>
              </w:rPr>
            </w:pPr>
            <w:r>
              <w:rPr>
                <w:sz w:val="4"/>
                <w:szCs w:val="4"/>
              </w:rPr>
            </w:r>
          </w:p>
        </w:tc>
        <w:tc>
          <w:tcPr>
            <w:tcW w:w="2267" w:type="dxa"/>
            <w:gridSpan w:val="2"/>
            <w:tcBorders/>
            <w:vAlign w:val="center"/>
          </w:tcPr>
          <w:p>
            <w:pPr>
              <w:pStyle w:val="TableContents"/>
              <w:bidi w:val="0"/>
              <w:spacing w:before="0" w:after="283"/>
              <w:jc w:val="left"/>
              <w:rPr>
                <w:sz w:val="4"/>
                <w:szCs w:val="4"/>
              </w:rPr>
            </w:pPr>
            <w:r>
              <w:rPr>
                <w:sz w:val="4"/>
                <w:szCs w:val="4"/>
              </w:rPr>
            </w:r>
          </w:p>
        </w:tc>
      </w:tr>
      <w:tr>
        <w:trPr/>
        <w:tc>
          <w:tcPr>
            <w:tcW w:w="391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Julianne Bruno</w:t>
            </w:r>
          </w:p>
          <w:p>
            <w:pPr>
              <w:pStyle w:val="TableContents"/>
              <w:bidi w:val="0"/>
              <w:spacing w:before="0" w:after="20"/>
              <w:jc w:val="center"/>
              <w:rPr>
                <w:rFonts w:ascii="Times New Roman" w:hAnsi="Times New Roman"/>
                <w:sz w:val="20"/>
              </w:rPr>
            </w:pPr>
            <w:r>
              <w:rPr>
                <w:rFonts w:ascii="Times New Roman" w:hAnsi="Times New Roman"/>
                <w:sz w:val="20"/>
              </w:rPr>
              <w:t>Julianne Bruno</w:t>
            </w:r>
          </w:p>
        </w:tc>
        <w:tc>
          <w:tcPr>
            <w:tcW w:w="120" w:type="dxa"/>
            <w:tcBorders/>
            <w:vAlign w:val="bottom"/>
          </w:tcPr>
          <w:p>
            <w:pPr>
              <w:pStyle w:val="TableContents"/>
              <w:bidi w:val="0"/>
              <w:spacing w:before="0" w:after="283"/>
              <w:jc w:val="left"/>
              <w:rPr/>
            </w:pPr>
            <w:r>
              <w:rPr/>
              <w:t>  </w:t>
            </w:r>
          </w:p>
        </w:tc>
        <w:tc>
          <w:tcPr>
            <w:tcW w:w="3906"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201" w:type="dxa"/>
            <w:tcBorders/>
            <w:vAlign w:val="bottom"/>
          </w:tcPr>
          <w:p>
            <w:pPr>
              <w:pStyle w:val="TableContents"/>
              <w:bidi w:val="0"/>
              <w:spacing w:before="0" w:after="283"/>
              <w:jc w:val="left"/>
              <w:rPr/>
            </w:pPr>
            <w:r>
              <w:rPr/>
              <w:t> </w:t>
            </w:r>
          </w:p>
        </w:tc>
        <w:tc>
          <w:tcPr>
            <w:tcW w:w="2066" w:type="dxa"/>
            <w:tcBorders/>
          </w:tcPr>
          <w:p>
            <w:pPr>
              <w:pStyle w:val="TableContents"/>
              <w:bidi w:val="0"/>
              <w:spacing w:before="0" w:after="283"/>
              <w:jc w:val="center"/>
              <w:rPr/>
            </w:pPr>
            <w:r>
              <w:rPr/>
              <w:t>August 10, 2026</w:t>
            </w:r>
          </w:p>
        </w:tc>
      </w:tr>
      <w:tr>
        <w:trPr>
          <w:trHeight w:val="240" w:hRule="atLeast"/>
        </w:trPr>
        <w:tc>
          <w:tcPr>
            <w:tcW w:w="3912" w:type="dxa"/>
            <w:tcBorders/>
            <w:vAlign w:val="center"/>
          </w:tcPr>
          <w:p>
            <w:pPr>
              <w:pStyle w:val="TableContents"/>
              <w:bidi w:val="0"/>
              <w:spacing w:before="0" w:after="283"/>
              <w:jc w:val="left"/>
              <w:rPr>
                <w:sz w:val="4"/>
                <w:szCs w:val="4"/>
              </w:rPr>
            </w:pPr>
            <w:r>
              <w:rPr>
                <w:sz w:val="4"/>
                <w:szCs w:val="4"/>
              </w:rPr>
            </w:r>
          </w:p>
        </w:tc>
        <w:tc>
          <w:tcPr>
            <w:tcW w:w="4026" w:type="dxa"/>
            <w:gridSpan w:val="2"/>
            <w:tcBorders/>
            <w:vAlign w:val="center"/>
          </w:tcPr>
          <w:p>
            <w:pPr>
              <w:pStyle w:val="TableContents"/>
              <w:bidi w:val="0"/>
              <w:spacing w:before="0" w:after="283"/>
              <w:jc w:val="left"/>
              <w:rPr>
                <w:sz w:val="4"/>
                <w:szCs w:val="4"/>
              </w:rPr>
            </w:pPr>
            <w:r>
              <w:rPr>
                <w:sz w:val="4"/>
                <w:szCs w:val="4"/>
              </w:rPr>
            </w:r>
          </w:p>
        </w:tc>
        <w:tc>
          <w:tcPr>
            <w:tcW w:w="2267" w:type="dxa"/>
            <w:gridSpan w:val="2"/>
            <w:tcBorders/>
            <w:vAlign w:val="center"/>
          </w:tcPr>
          <w:p>
            <w:pPr>
              <w:pStyle w:val="TableContents"/>
              <w:bidi w:val="0"/>
              <w:spacing w:before="0" w:after="283"/>
              <w:jc w:val="left"/>
              <w:rPr>
                <w:sz w:val="4"/>
                <w:szCs w:val="4"/>
              </w:rPr>
            </w:pPr>
            <w:r>
              <w:rPr>
                <w:sz w:val="4"/>
                <w:szCs w:val="4"/>
              </w:rPr>
            </w:r>
          </w:p>
        </w:tc>
      </w:tr>
      <w:tr>
        <w:trPr/>
        <w:tc>
          <w:tcPr>
            <w:tcW w:w="391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Christopher Cain, Ph.D.</w:t>
            </w:r>
          </w:p>
          <w:p>
            <w:pPr>
              <w:pStyle w:val="TableContents"/>
              <w:bidi w:val="0"/>
              <w:spacing w:before="0" w:after="20"/>
              <w:jc w:val="center"/>
              <w:rPr>
                <w:rFonts w:ascii="Times New Roman" w:hAnsi="Times New Roman"/>
                <w:sz w:val="20"/>
              </w:rPr>
            </w:pPr>
            <w:r>
              <w:rPr>
                <w:rFonts w:ascii="Times New Roman" w:hAnsi="Times New Roman"/>
                <w:sz w:val="20"/>
              </w:rPr>
              <w:t>Christopher Cain, Ph.D.</w:t>
            </w:r>
          </w:p>
        </w:tc>
        <w:tc>
          <w:tcPr>
            <w:tcW w:w="120" w:type="dxa"/>
            <w:tcBorders/>
            <w:vAlign w:val="bottom"/>
          </w:tcPr>
          <w:p>
            <w:pPr>
              <w:pStyle w:val="TableContents"/>
              <w:bidi w:val="0"/>
              <w:spacing w:before="0" w:after="283"/>
              <w:jc w:val="left"/>
              <w:rPr/>
            </w:pPr>
            <w:r>
              <w:rPr/>
              <w:t>  </w:t>
            </w:r>
          </w:p>
        </w:tc>
        <w:tc>
          <w:tcPr>
            <w:tcW w:w="3906"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201" w:type="dxa"/>
            <w:tcBorders/>
            <w:vAlign w:val="bottom"/>
          </w:tcPr>
          <w:p>
            <w:pPr>
              <w:pStyle w:val="TableContents"/>
              <w:bidi w:val="0"/>
              <w:spacing w:before="0" w:after="283"/>
              <w:jc w:val="left"/>
              <w:rPr/>
            </w:pPr>
            <w:r>
              <w:rPr/>
              <w:t> </w:t>
            </w:r>
          </w:p>
        </w:tc>
        <w:tc>
          <w:tcPr>
            <w:tcW w:w="2066" w:type="dxa"/>
            <w:tcBorders/>
          </w:tcPr>
          <w:p>
            <w:pPr>
              <w:pStyle w:val="TableContents"/>
              <w:bidi w:val="0"/>
              <w:spacing w:before="0" w:after="283"/>
              <w:jc w:val="center"/>
              <w:rPr/>
            </w:pPr>
            <w:r>
              <w:rPr/>
              <w:t>August 10, 2026</w:t>
            </w:r>
          </w:p>
        </w:tc>
      </w:tr>
      <w:tr>
        <w:trPr>
          <w:trHeight w:val="240" w:hRule="atLeast"/>
        </w:trPr>
        <w:tc>
          <w:tcPr>
            <w:tcW w:w="3912" w:type="dxa"/>
            <w:tcBorders/>
            <w:vAlign w:val="center"/>
          </w:tcPr>
          <w:p>
            <w:pPr>
              <w:pStyle w:val="TableContents"/>
              <w:bidi w:val="0"/>
              <w:spacing w:before="0" w:after="283"/>
              <w:jc w:val="left"/>
              <w:rPr>
                <w:sz w:val="4"/>
                <w:szCs w:val="4"/>
              </w:rPr>
            </w:pPr>
            <w:r>
              <w:rPr>
                <w:sz w:val="4"/>
                <w:szCs w:val="4"/>
              </w:rPr>
            </w:r>
          </w:p>
        </w:tc>
        <w:tc>
          <w:tcPr>
            <w:tcW w:w="4026" w:type="dxa"/>
            <w:gridSpan w:val="2"/>
            <w:tcBorders/>
            <w:vAlign w:val="center"/>
          </w:tcPr>
          <w:p>
            <w:pPr>
              <w:pStyle w:val="TableContents"/>
              <w:bidi w:val="0"/>
              <w:spacing w:before="0" w:after="283"/>
              <w:jc w:val="left"/>
              <w:rPr>
                <w:sz w:val="4"/>
                <w:szCs w:val="4"/>
              </w:rPr>
            </w:pPr>
            <w:r>
              <w:rPr>
                <w:sz w:val="4"/>
                <w:szCs w:val="4"/>
              </w:rPr>
            </w:r>
          </w:p>
        </w:tc>
        <w:tc>
          <w:tcPr>
            <w:tcW w:w="2267" w:type="dxa"/>
            <w:gridSpan w:val="2"/>
            <w:tcBorders/>
            <w:vAlign w:val="center"/>
          </w:tcPr>
          <w:p>
            <w:pPr>
              <w:pStyle w:val="TableContents"/>
              <w:bidi w:val="0"/>
              <w:spacing w:before="0" w:after="283"/>
              <w:jc w:val="left"/>
              <w:rPr>
                <w:sz w:val="4"/>
                <w:szCs w:val="4"/>
              </w:rPr>
            </w:pPr>
            <w:r>
              <w:rPr>
                <w:sz w:val="4"/>
                <w:szCs w:val="4"/>
              </w:rPr>
            </w:r>
          </w:p>
        </w:tc>
      </w:tr>
      <w:tr>
        <w:trPr/>
        <w:tc>
          <w:tcPr>
            <w:tcW w:w="391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Michael Landsittel</w:t>
            </w:r>
          </w:p>
          <w:p>
            <w:pPr>
              <w:pStyle w:val="TableContents"/>
              <w:bidi w:val="0"/>
              <w:spacing w:before="0" w:after="20"/>
              <w:jc w:val="center"/>
              <w:rPr>
                <w:rFonts w:ascii="Times New Roman" w:hAnsi="Times New Roman"/>
                <w:sz w:val="20"/>
              </w:rPr>
            </w:pPr>
            <w:r>
              <w:rPr>
                <w:rFonts w:ascii="Times New Roman" w:hAnsi="Times New Roman"/>
                <w:sz w:val="20"/>
              </w:rPr>
              <w:t>Michael Landsittel</w:t>
            </w:r>
          </w:p>
        </w:tc>
        <w:tc>
          <w:tcPr>
            <w:tcW w:w="120" w:type="dxa"/>
            <w:tcBorders/>
            <w:vAlign w:val="bottom"/>
          </w:tcPr>
          <w:p>
            <w:pPr>
              <w:pStyle w:val="TableContents"/>
              <w:bidi w:val="0"/>
              <w:spacing w:before="0" w:after="283"/>
              <w:jc w:val="left"/>
              <w:rPr/>
            </w:pPr>
            <w:r>
              <w:rPr/>
              <w:t>  </w:t>
            </w:r>
          </w:p>
        </w:tc>
        <w:tc>
          <w:tcPr>
            <w:tcW w:w="3906"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201" w:type="dxa"/>
            <w:tcBorders/>
            <w:vAlign w:val="bottom"/>
          </w:tcPr>
          <w:p>
            <w:pPr>
              <w:pStyle w:val="TableContents"/>
              <w:bidi w:val="0"/>
              <w:spacing w:before="0" w:after="283"/>
              <w:jc w:val="left"/>
              <w:rPr/>
            </w:pPr>
            <w:r>
              <w:rPr/>
              <w:t> </w:t>
            </w:r>
          </w:p>
        </w:tc>
        <w:tc>
          <w:tcPr>
            <w:tcW w:w="2066" w:type="dxa"/>
            <w:tcBorders/>
          </w:tcPr>
          <w:p>
            <w:pPr>
              <w:pStyle w:val="TableContents"/>
              <w:bidi w:val="0"/>
              <w:spacing w:before="0" w:after="283"/>
              <w:jc w:val="center"/>
              <w:rPr/>
            </w:pPr>
            <w:r>
              <w:rPr/>
              <w:t>August 10, 2026</w:t>
            </w:r>
          </w:p>
        </w:tc>
      </w:tr>
      <w:tr>
        <w:trPr>
          <w:trHeight w:val="240" w:hRule="atLeast"/>
        </w:trPr>
        <w:tc>
          <w:tcPr>
            <w:tcW w:w="3912" w:type="dxa"/>
            <w:tcBorders/>
            <w:vAlign w:val="center"/>
          </w:tcPr>
          <w:p>
            <w:pPr>
              <w:pStyle w:val="TableContents"/>
              <w:bidi w:val="0"/>
              <w:spacing w:before="0" w:after="283"/>
              <w:jc w:val="left"/>
              <w:rPr>
                <w:sz w:val="4"/>
                <w:szCs w:val="4"/>
              </w:rPr>
            </w:pPr>
            <w:r>
              <w:rPr>
                <w:sz w:val="4"/>
                <w:szCs w:val="4"/>
              </w:rPr>
            </w:r>
          </w:p>
        </w:tc>
        <w:tc>
          <w:tcPr>
            <w:tcW w:w="4026" w:type="dxa"/>
            <w:gridSpan w:val="2"/>
            <w:tcBorders/>
            <w:vAlign w:val="center"/>
          </w:tcPr>
          <w:p>
            <w:pPr>
              <w:pStyle w:val="TableContents"/>
              <w:bidi w:val="0"/>
              <w:spacing w:before="0" w:after="283"/>
              <w:jc w:val="left"/>
              <w:rPr>
                <w:sz w:val="4"/>
                <w:szCs w:val="4"/>
              </w:rPr>
            </w:pPr>
            <w:r>
              <w:rPr>
                <w:sz w:val="4"/>
                <w:szCs w:val="4"/>
              </w:rPr>
            </w:r>
          </w:p>
        </w:tc>
        <w:tc>
          <w:tcPr>
            <w:tcW w:w="2267" w:type="dxa"/>
            <w:gridSpan w:val="2"/>
            <w:tcBorders/>
            <w:vAlign w:val="center"/>
          </w:tcPr>
          <w:p>
            <w:pPr>
              <w:pStyle w:val="TableContents"/>
              <w:bidi w:val="0"/>
              <w:spacing w:before="0" w:after="283"/>
              <w:jc w:val="left"/>
              <w:rPr>
                <w:sz w:val="4"/>
                <w:szCs w:val="4"/>
              </w:rPr>
            </w:pPr>
            <w:r>
              <w:rPr>
                <w:sz w:val="4"/>
                <w:szCs w:val="4"/>
              </w:rPr>
            </w:r>
          </w:p>
        </w:tc>
      </w:tr>
      <w:tr>
        <w:trPr/>
        <w:tc>
          <w:tcPr>
            <w:tcW w:w="391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Cameron Turtle, D.Phil.</w:t>
            </w:r>
          </w:p>
          <w:p>
            <w:pPr>
              <w:pStyle w:val="TableContents"/>
              <w:bidi w:val="0"/>
              <w:spacing w:before="0" w:after="20"/>
              <w:jc w:val="center"/>
              <w:rPr>
                <w:rFonts w:ascii="Times New Roman" w:hAnsi="Times New Roman"/>
                <w:sz w:val="20"/>
              </w:rPr>
            </w:pPr>
            <w:r>
              <w:rPr>
                <w:rFonts w:ascii="Times New Roman" w:hAnsi="Times New Roman"/>
                <w:sz w:val="20"/>
              </w:rPr>
              <w:t>Cameron Turtle, D.Phil.</w:t>
            </w:r>
          </w:p>
        </w:tc>
        <w:tc>
          <w:tcPr>
            <w:tcW w:w="120" w:type="dxa"/>
            <w:tcBorders/>
            <w:vAlign w:val="bottom"/>
          </w:tcPr>
          <w:p>
            <w:pPr>
              <w:pStyle w:val="TableContents"/>
              <w:bidi w:val="0"/>
              <w:spacing w:before="0" w:after="283"/>
              <w:jc w:val="left"/>
              <w:rPr/>
            </w:pPr>
            <w:r>
              <w:rPr/>
              <w:t>  </w:t>
            </w:r>
          </w:p>
        </w:tc>
        <w:tc>
          <w:tcPr>
            <w:tcW w:w="3906"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201" w:type="dxa"/>
            <w:tcBorders/>
            <w:vAlign w:val="bottom"/>
          </w:tcPr>
          <w:p>
            <w:pPr>
              <w:pStyle w:val="TableContents"/>
              <w:bidi w:val="0"/>
              <w:spacing w:before="0" w:after="283"/>
              <w:jc w:val="left"/>
              <w:rPr/>
            </w:pPr>
            <w:r>
              <w:rPr/>
              <w:t> </w:t>
            </w:r>
          </w:p>
        </w:tc>
        <w:tc>
          <w:tcPr>
            <w:tcW w:w="2066" w:type="dxa"/>
            <w:tcBorders/>
          </w:tcPr>
          <w:p>
            <w:pPr>
              <w:pStyle w:val="TableContents"/>
              <w:bidi w:val="0"/>
              <w:spacing w:before="0" w:after="283"/>
              <w:jc w:val="center"/>
              <w:rPr/>
            </w:pPr>
            <w:r>
              <w:rPr/>
              <w:t>August 10,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AUTHORIZED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Section 6(a) of the Securities Act of 1933, the undersigned has signed this registration statement, solely in its capacity as the duly authorized representative of Damora Therapeutics, Inc., in Waltham, Massachusetts, on August 10,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5"/>
        <w:gridCol w:w="60"/>
        <w:gridCol w:w="3647"/>
      </w:tblGrid>
      <w:tr>
        <w:trPr/>
        <w:tc>
          <w:tcPr>
            <w:tcW w:w="3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Damora Therapeutics, Inc.</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7" w:type="dxa"/>
            <w:tcBorders>
              <w:bottom w:val="single" w:sz="2" w:space="0" w:color="000000"/>
            </w:tcBorders>
            <w:tcMar>
              <w:bottom w:w="28" w:type="dxa"/>
            </w:tcMar>
          </w:tcPr>
          <w:p>
            <w:pPr>
              <w:pStyle w:val="TableContents"/>
              <w:bidi w:val="0"/>
              <w:spacing w:before="0" w:after="283"/>
              <w:jc w:val="left"/>
              <w:rPr/>
            </w:pPr>
            <w:r>
              <w:rPr/>
              <w:t>/s/ Brian Burkavage</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vAlign w:val="bottom"/>
          </w:tcPr>
          <w:p>
            <w:pPr>
              <w:pStyle w:val="TableContents"/>
              <w:bidi w:val="0"/>
              <w:spacing w:before="0" w:after="283"/>
              <w:jc w:val="left"/>
              <w:rPr/>
            </w:pPr>
            <w:r>
              <w:rPr/>
              <w:t>Brian Burkavage</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vAlign w:val="bottom"/>
          </w:tcPr>
          <w:p>
            <w:pPr>
              <w:pStyle w:val="TableContents"/>
              <w:bidi w:val="0"/>
              <w:spacing w:before="0" w:after="283"/>
              <w:jc w:val="left"/>
              <w:rPr/>
            </w:pPr>
            <w:r>
              <w:rPr/>
              <w:t>Senior Vice President, Finance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p>
    <w:p>
      <w:pPr>
        <w:pStyle w:val="TextBody"/>
        <w:bidi w:val="0"/>
        <w:spacing w:before="0" w:after="0"/>
        <w:jc w:val="right"/>
        <w:rPr>
          <w:rFonts w:ascii="Times New Roman" w:hAnsi="Times New Roman"/>
          <w:b/>
          <w:sz w:val="20"/>
        </w:rPr>
      </w:pPr>
      <w:bookmarkStart w:id="28" w:name="d161734dex12.htm"/>
      <w:bookmarkStart w:id="29" w:name="ksd161734dex12"/>
      <w:bookmarkEnd w:id="28"/>
      <w:bookmarkEnd w:id="29"/>
      <w:r>
        <w:rPr>
          <w:rFonts w:ascii="Times New Roman" w:hAnsi="Times New Roman"/>
          <w:b/>
          <w:sz w:val="20"/>
        </w:rPr>
        <w:t xml:space="preserve">Exhibit 1.2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DAMORA THERAPEUTICS, INC.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$150,000,000 ORDINARY SHARES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AMENDED AND RESTATED SALES AGREEMENT </w:t>
      </w:r>
    </w:p>
    <w:p>
      <w:pPr>
        <w:pStyle w:val="TextBody"/>
        <w:bidi w:val="0"/>
        <w:spacing w:before="240" w:after="0"/>
        <w:jc w:val="right"/>
        <w:rPr>
          <w:rFonts w:ascii="Times New Roman" w:hAnsi="Times New Roman"/>
          <w:sz w:val="20"/>
        </w:rPr>
      </w:pPr>
      <w:r>
        <w:rPr>
          <w:rFonts w:ascii="Times New Roman" w:hAnsi="Times New Roman"/>
          <w:sz w:val="20"/>
        </w:rPr>
        <w:t xml:space="preserve">August 10, 2026 </w:t>
      </w:r>
    </w:p>
    <w:p>
      <w:pPr>
        <w:pStyle w:val="TextBody"/>
        <w:bidi w:val="0"/>
        <w:spacing w:before="240" w:after="0"/>
        <w:jc w:val="left"/>
        <w:rPr>
          <w:rFonts w:ascii="Times New Roman" w:hAnsi="Times New Roman"/>
          <w:sz w:val="20"/>
        </w:rPr>
      </w:pPr>
      <w:r>
        <w:rPr>
          <w:rFonts w:ascii="Times New Roman" w:hAnsi="Times New Roman"/>
          <w:sz w:val="20"/>
        </w:rPr>
        <w:t xml:space="preserve">TD Securities (USA) LLC </w:t>
      </w:r>
    </w:p>
    <w:p>
      <w:pPr>
        <w:pStyle w:val="TextBody"/>
        <w:bidi w:val="0"/>
        <w:spacing w:before="0" w:after="0"/>
        <w:jc w:val="left"/>
        <w:rPr>
          <w:rFonts w:ascii="Times New Roman" w:hAnsi="Times New Roman"/>
          <w:sz w:val="20"/>
        </w:rPr>
      </w:pPr>
      <w:r>
        <w:rPr>
          <w:rFonts w:ascii="Times New Roman" w:hAnsi="Times New Roman"/>
          <w:sz w:val="20"/>
        </w:rPr>
        <w:t xml:space="preserve">1 Vanderbilt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10017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Damora Therapeutics, Inc. (the “</w:t>
      </w:r>
      <w:r>
        <w:rPr>
          <w:rFonts w:ascii="Times New Roman" w:hAnsi="Times New Roman"/>
          <w:b/>
          <w:sz w:val="20"/>
          <w:u w:val="single"/>
        </w:rPr>
        <w:t>Company</w:t>
      </w:r>
      <w:r>
        <w:rPr>
          <w:rFonts w:ascii="Times New Roman" w:hAnsi="Times New Roman"/>
          <w:sz w:val="20"/>
        </w:rPr>
        <w:t>”) confirms its agreement (this “</w:t>
      </w:r>
      <w:r>
        <w:rPr>
          <w:rFonts w:ascii="Times New Roman" w:hAnsi="Times New Roman"/>
          <w:b/>
          <w:sz w:val="20"/>
          <w:u w:val="single"/>
        </w:rPr>
        <w:t>Agreement</w:t>
      </w:r>
      <w:r>
        <w:rPr>
          <w:rFonts w:ascii="Times New Roman" w:hAnsi="Times New Roman"/>
          <w:sz w:val="20"/>
        </w:rPr>
        <w:t>”) with TD Securities (USA) LLC (“</w:t>
      </w:r>
      <w:r>
        <w:rPr>
          <w:rFonts w:ascii="Times New Roman" w:hAnsi="Times New Roman"/>
          <w:b/>
          <w:sz w:val="20"/>
          <w:u w:val="single"/>
        </w:rPr>
        <w:t>TD Cowen</w:t>
      </w:r>
      <w:r>
        <w:rPr>
          <w:rFonts w:ascii="Times New Roman" w:hAnsi="Times New Roman"/>
          <w:sz w:val="20"/>
        </w:rPr>
        <w:t xml:space="preserve">”), as follows: </w:t>
      </w:r>
    </w:p>
    <w:p>
      <w:pPr>
        <w:pStyle w:val="TextBody"/>
        <w:bidi w:val="0"/>
        <w:spacing w:before="120" w:after="0"/>
        <w:jc w:val="left"/>
        <w:rPr>
          <w:rFonts w:ascii="Times New Roman" w:hAnsi="Times New Roman"/>
          <w:sz w:val="20"/>
        </w:rPr>
      </w:pPr>
      <w:r>
        <w:rPr>
          <w:rFonts w:ascii="Times New Roman" w:hAnsi="Times New Roman"/>
          <w:sz w:val="20"/>
        </w:rPr>
        <w:t>1. </w:t>
      </w:r>
      <w:r>
        <w:rPr>
          <w:rFonts w:ascii="Times New Roman" w:hAnsi="Times New Roman"/>
          <w:sz w:val="20"/>
          <w:u w:val="single"/>
        </w:rPr>
        <w:t>Issuance and Sale of Shares</w:t>
      </w:r>
      <w:r>
        <w:rPr>
          <w:rFonts w:ascii="Times New Roman" w:hAnsi="Times New Roman"/>
          <w:sz w:val="20"/>
        </w:rPr>
        <w:t>. The Company agrees that, from time to time during the term of this Agreement, on the terms and subject to the conditions set forth herein and the Memorandum and Articles of Association of the Company, it may issue and sell through TD Cowen, acting as agent and/or principal, ordinary shares (the “</w:t>
      </w:r>
      <w:r>
        <w:rPr>
          <w:rFonts w:ascii="Times New Roman" w:hAnsi="Times New Roman"/>
          <w:b/>
          <w:sz w:val="20"/>
          <w:u w:val="single"/>
        </w:rPr>
        <w:t>Placement Shares</w:t>
      </w:r>
      <w:r>
        <w:rPr>
          <w:rFonts w:ascii="Times New Roman" w:hAnsi="Times New Roman"/>
          <w:sz w:val="20"/>
        </w:rPr>
        <w:t>”) of the Company, par value $0.00001 per share (the “</w:t>
      </w:r>
      <w:r>
        <w:rPr>
          <w:rFonts w:ascii="Times New Roman" w:hAnsi="Times New Roman"/>
          <w:b/>
          <w:sz w:val="20"/>
          <w:u w:val="single"/>
        </w:rPr>
        <w:t>Ordinary Shares</w:t>
      </w:r>
      <w:r>
        <w:rPr>
          <w:rFonts w:ascii="Times New Roman" w:hAnsi="Times New Roman"/>
          <w:sz w:val="20"/>
        </w:rPr>
        <w:t>”), having an aggregate offering price of up to $150,000,000 (the “</w:t>
      </w:r>
      <w:r>
        <w:rPr>
          <w:rFonts w:ascii="Times New Roman" w:hAnsi="Times New Roman"/>
          <w:b/>
          <w:sz w:val="20"/>
          <w:u w:val="single"/>
        </w:rPr>
        <w:t>Maximum Amount</w:t>
      </w:r>
      <w:r>
        <w:rPr>
          <w:rFonts w:ascii="Times New Roman" w:hAnsi="Times New Roman"/>
          <w:sz w:val="20"/>
        </w:rPr>
        <w:t xml:space="preserve">”). Notwithstanding anything to the contrary contained herein, the parties hereto agree that compliance with the limitation set forth in this </w:t>
      </w:r>
      <w:r>
        <w:rPr>
          <w:rFonts w:ascii="Times New Roman" w:hAnsi="Times New Roman"/>
          <w:sz w:val="20"/>
          <w:u w:val="single"/>
        </w:rPr>
        <w:t>Section 1</w:t>
      </w:r>
      <w:r>
        <w:rPr>
          <w:rFonts w:ascii="Times New Roman" w:hAnsi="Times New Roman"/>
          <w:sz w:val="20"/>
        </w:rPr>
        <w:t xml:space="preserve"> on the number of Ordinary Shares issued and sold under this Agreement shall be the sole responsibility of the Company, and TD Cowen shall have no obligation in connection with such compliance. The issuance and sale of Ordinary Shares through TD Cowen will be effected pursuant to the Registration Statement (as defined below) filed by the Company which became automatically effective under Rule 462(e) of the Securities Act (as defined below) upon filing with the Securities and Exchange Commission (the “</w:t>
      </w:r>
      <w:r>
        <w:rPr>
          <w:rFonts w:ascii="Times New Roman" w:hAnsi="Times New Roman"/>
          <w:b/>
          <w:sz w:val="20"/>
          <w:u w:val="single"/>
        </w:rPr>
        <w:t>Commission</w:t>
      </w:r>
      <w:r>
        <w:rPr>
          <w:rFonts w:ascii="Times New Roman" w:hAnsi="Times New Roman"/>
          <w:sz w:val="20"/>
        </w:rPr>
        <w:t xml:space="preserve">”), although nothing in this Agreement shall be construed as requiring the Company to use the Registration Statement (as defined below) to issue the Placement Shares. The Company acknowledges and agrees that sales of Placement Shares under this Agreement may be made through affiliates of TD Cowen, and that TD Cowen may otherwise fulfill its obligations pursuant to this Agreement to or through an affiliated broker-dealer. </w:t>
      </w:r>
    </w:p>
    <w:p>
      <w:pPr>
        <w:pStyle w:val="TextBody"/>
        <w:bidi w:val="0"/>
        <w:spacing w:before="240" w:after="0"/>
        <w:jc w:val="left"/>
        <w:rPr>
          <w:rFonts w:ascii="Times New Roman" w:hAnsi="Times New Roman"/>
          <w:sz w:val="20"/>
        </w:rPr>
      </w:pPr>
      <w:r>
        <w:rPr>
          <w:rFonts w:ascii="Times New Roman" w:hAnsi="Times New Roman"/>
          <w:sz w:val="20"/>
        </w:rPr>
        <w:t>The Company has filed, in accordance with the provisions of the Securities Act of 1933, as amended, and the rules and regulations thereunder (collectively, the “</w:t>
      </w:r>
      <w:r>
        <w:rPr>
          <w:rFonts w:ascii="Times New Roman" w:hAnsi="Times New Roman"/>
          <w:b/>
          <w:sz w:val="20"/>
          <w:u w:val="single"/>
        </w:rPr>
        <w:t>Securities Act</w:t>
      </w:r>
      <w:r>
        <w:rPr>
          <w:rFonts w:ascii="Times New Roman" w:hAnsi="Times New Roman"/>
          <w:sz w:val="20"/>
        </w:rPr>
        <w:t>”), with the Commission an automatic registration statement on Form S-3 (File No. 333-293343), and will file a post-effective amendment thereto that includes a base prospectus, relating to certain securities, including the Ordinary Shares, to be issued from time to time by the Company, and which incorporates by reference documents that the Company has filed or will file in accordance with the provisions of the Securities Exchange Act of 1934, as amended, and the rules and regulations thereunder (collectively, the “</w:t>
      </w:r>
      <w:r>
        <w:rPr>
          <w:rFonts w:ascii="Times New Roman" w:hAnsi="Times New Roman"/>
          <w:b/>
          <w:sz w:val="20"/>
          <w:u w:val="single"/>
        </w:rPr>
        <w:t>Exchange Act</w:t>
      </w:r>
      <w:r>
        <w:rPr>
          <w:rFonts w:ascii="Times New Roman" w:hAnsi="Times New Roman"/>
          <w:sz w:val="20"/>
        </w:rPr>
        <w:t xml:space="preserve">”). The Company has prepared a prospectus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supplement specifically relating to the Placement Shares (the “</w:t>
      </w:r>
      <w:r>
        <w:rPr>
          <w:rFonts w:ascii="Times New Roman" w:hAnsi="Times New Roman"/>
          <w:b/>
          <w:sz w:val="20"/>
          <w:u w:val="single"/>
        </w:rPr>
        <w:t>Prospectus Supplement</w:t>
      </w:r>
      <w:r>
        <w:rPr>
          <w:rFonts w:ascii="Times New Roman" w:hAnsi="Times New Roman"/>
          <w:sz w:val="20"/>
        </w:rPr>
        <w:t>”) to the base prospectus included as part of such registration statement. The Company has furnished to TD Cowen, for use by TD Cowen, copies of the prospectus included as part of such registration statement, as supplemented by the Prospectus Supplement. Except where the context otherwise requires, such registration statement, and any post-effective amendment thereto, as amended when it became effective,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or 462(b) of the Securities Act, or any subsequent registration statement on Form S-3 filed pursuant to Rule 415(a)(6) under the Securities Act by the Company with respect to the Placement Shares, is herein called the “</w:t>
      </w:r>
      <w:r>
        <w:rPr>
          <w:rFonts w:ascii="Times New Roman" w:hAnsi="Times New Roman"/>
          <w:b/>
          <w:sz w:val="20"/>
          <w:u w:val="single"/>
        </w:rPr>
        <w:t>Registration Statement</w:t>
      </w:r>
      <w:r>
        <w:rPr>
          <w:rFonts w:ascii="Times New Roman" w:hAnsi="Times New Roman"/>
          <w:sz w:val="20"/>
        </w:rPr>
        <w:t>.” Any registration statement and amendments thereto filed pursuant to Rule 462(b) of the Securities Act and relating to the offering covered by the Registration Statement is herein called a “Rule 462(b) Registration Statement” and, after such filing, the “Registration Statement” shall include any Rule 462(b) Registration Statement. The base prospectus, including all documents incorporated therein by reference, included in the Registration Statement, as it may be supplemented by the Prospectus Supplement, in the form in which such base prospectus and Prospectus Supplement have most recently been filed by the Company with the Commission pursuant to Rule 424(b) under the Securities Act, together with any “issuer free writing prospectus,” as defined in Rule 433 of the Securities Act regulations (“</w:t>
      </w:r>
      <w:r>
        <w:rPr>
          <w:rFonts w:ascii="Times New Roman" w:hAnsi="Times New Roman"/>
          <w:b/>
          <w:sz w:val="20"/>
          <w:u w:val="single"/>
        </w:rPr>
        <w:t>Rule 433</w:t>
      </w:r>
      <w:r>
        <w:rPr>
          <w:rFonts w:ascii="Times New Roman" w:hAnsi="Times New Roman"/>
          <w:sz w:val="20"/>
        </w:rPr>
        <w:t>”), relating to the Placement Shares that (i) is consented to by TD Cowen, hereinafter referred to as a “</w:t>
      </w:r>
      <w:r>
        <w:rPr>
          <w:rFonts w:ascii="Times New Roman" w:hAnsi="Times New Roman"/>
          <w:b/>
          <w:sz w:val="20"/>
          <w:u w:val="single"/>
        </w:rPr>
        <w:t>Permitted Free Writing Prospectus</w:t>
      </w:r>
      <w:r>
        <w:rPr>
          <w:rFonts w:ascii="Times New Roman" w:hAnsi="Times New Roman"/>
          <w:sz w:val="20"/>
        </w:rPr>
        <w:t>,” (ii) is required to be filed with the Commission by the Company or (iii) is exempt from filing pursuant to Rule 433(d)(5)(i), in each case in the form filed or required to be filed with the Commission or, if not required to be filed, in the form retained in the Company’s records pursuant to Rule 433(g), is herein called the “</w:t>
      </w:r>
      <w:r>
        <w:rPr>
          <w:rFonts w:ascii="Times New Roman" w:hAnsi="Times New Roman"/>
          <w:b/>
          <w:sz w:val="20"/>
          <w:u w:val="single"/>
        </w:rPr>
        <w:t>Prospectus</w:t>
      </w:r>
      <w:r>
        <w:rPr>
          <w:rFonts w:ascii="Times New Roman" w:hAnsi="Times New Roman"/>
          <w:sz w:val="20"/>
        </w:rPr>
        <w:t>.”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For purposes of this Agreement, all references to the Registration Statement, the Prospectus or to any amendment or supplement thereto shall be deemed to include any copy filed with the Commission pursuant to the Electronic Data Gathering Analysis and Retrieval System (“</w:t>
      </w:r>
      <w:r>
        <w:rPr>
          <w:rFonts w:ascii="Times New Roman" w:hAnsi="Times New Roman"/>
          <w:b/>
          <w:sz w:val="20"/>
          <w:u w:val="single"/>
        </w:rPr>
        <w:t>EDGAR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2. </w:t>
      </w:r>
      <w:r>
        <w:rPr>
          <w:rFonts w:ascii="Times New Roman" w:hAnsi="Times New Roman"/>
          <w:sz w:val="20"/>
          <w:u w:val="single"/>
        </w:rPr>
        <w:t>Placements</w:t>
      </w:r>
      <w:r>
        <w:rPr>
          <w:rFonts w:ascii="Times New Roman" w:hAnsi="Times New Roman"/>
          <w:sz w:val="20"/>
        </w:rPr>
        <w:t>. Each time that the Company wishes to issue and sell the Placement Shares hereunder (each, a “</w:t>
      </w:r>
      <w:r>
        <w:rPr>
          <w:rFonts w:ascii="Times New Roman" w:hAnsi="Times New Roman"/>
          <w:b/>
          <w:sz w:val="20"/>
          <w:u w:val="single"/>
        </w:rPr>
        <w:t>Placement</w:t>
      </w:r>
      <w:r>
        <w:rPr>
          <w:rFonts w:ascii="Times New Roman" w:hAnsi="Times New Roman"/>
          <w:sz w:val="20"/>
        </w:rPr>
        <w:t>”), it will notify TD Cowen by email notice (or other method mutually agreed to in writing by the parties) (a “</w:t>
      </w:r>
      <w:r>
        <w:rPr>
          <w:rFonts w:ascii="Times New Roman" w:hAnsi="Times New Roman"/>
          <w:b/>
          <w:sz w:val="20"/>
          <w:u w:val="single"/>
        </w:rPr>
        <w:t>Placement Notice</w:t>
      </w:r>
      <w:r>
        <w:rPr>
          <w:rFonts w:ascii="Times New Roman" w:hAnsi="Times New Roman"/>
          <w:sz w:val="20"/>
        </w:rPr>
        <w:t xml:space="preserve">”) containing the parameters in accordance with which it desires the Placement Shares to be sold, which shall at a minimum include the number of Placement Shares to be issued, the time period during which sales are requested to be made, any limitation on the number of Placement Shares that may be sold in any one Trading Day (as defined in </w:t>
      </w:r>
      <w:r>
        <w:rPr>
          <w:rFonts w:ascii="Times New Roman" w:hAnsi="Times New Roman"/>
          <w:sz w:val="20"/>
          <w:u w:val="single"/>
        </w:rPr>
        <w:t>Section 3</w:t>
      </w:r>
      <w:r>
        <w:rPr>
          <w:rFonts w:ascii="Times New Roman" w:hAnsi="Times New Roman"/>
          <w:sz w:val="20"/>
        </w:rPr>
        <w:t xml:space="preserve">) and any minimum price below which sales may not be made, a form of which containing such minimum sales parameters necessary is attached hereto as </w:t>
      </w:r>
      <w:r>
        <w:rPr>
          <w:rFonts w:ascii="Times New Roman" w:hAnsi="Times New Roman"/>
          <w:b/>
          <w:sz w:val="20"/>
          <w:u w:val="single"/>
        </w:rPr>
        <w:t>Schedule 1</w:t>
      </w:r>
      <w:r>
        <w:rPr>
          <w:rFonts w:ascii="Times New Roman" w:hAnsi="Times New Roman"/>
          <w:sz w:val="20"/>
        </w:rPr>
        <w:t xml:space="preserve">. The Placement Notice shall originate from any of the individuals from the Company set forth on </w:t>
      </w:r>
      <w:r>
        <w:rPr>
          <w:rFonts w:ascii="Times New Roman" w:hAnsi="Times New Roman"/>
          <w:b/>
          <w:sz w:val="20"/>
          <w:u w:val="single"/>
        </w:rPr>
        <w:t>Schedule 2</w:t>
      </w:r>
      <w:r>
        <w:rPr>
          <w:rFonts w:ascii="Times New Roman" w:hAnsi="Times New Roman"/>
          <w:sz w:val="20"/>
        </w:rPr>
        <w:t xml:space="preserve"> (with a copy to each of the other individuals from the Company listed on such schedule), and shall be addressed to each of the individuals from TD Cowen set forth on </w:t>
      </w:r>
      <w:r>
        <w:rPr>
          <w:rFonts w:ascii="Times New Roman" w:hAnsi="Times New Roman"/>
          <w:b/>
          <w:sz w:val="20"/>
          <w:u w:val="single"/>
        </w:rPr>
        <w:t>Schedule 2</w:t>
      </w:r>
      <w:r>
        <w:rPr>
          <w:rFonts w:ascii="Times New Roman" w:hAnsi="Times New Roman"/>
          <w:sz w:val="20"/>
        </w:rPr>
        <w:t xml:space="preserve">, as such </w:t>
      </w:r>
      <w:r>
        <w:rPr>
          <w:rFonts w:ascii="Times New Roman" w:hAnsi="Times New Roman"/>
          <w:b/>
          <w:sz w:val="20"/>
          <w:u w:val="single"/>
        </w:rPr>
        <w:t>Schedule 2</w:t>
      </w:r>
      <w:r>
        <w:rPr>
          <w:rFonts w:ascii="Times New Roman" w:hAnsi="Times New Roman"/>
          <w:sz w:val="20"/>
        </w:rPr>
        <w:t xml:space="preserve"> may be amended from time to time by sending a written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containing a revised Schedule 2 to the other party in the manner provided in </w:t>
      </w:r>
      <w:r>
        <w:rPr>
          <w:rFonts w:ascii="Times New Roman" w:hAnsi="Times New Roman"/>
          <w:sz w:val="20"/>
          <w:u w:val="single"/>
        </w:rPr>
        <w:t>Section 12</w:t>
      </w:r>
      <w:r>
        <w:rPr>
          <w:rFonts w:ascii="Times New Roman" w:hAnsi="Times New Roman"/>
          <w:sz w:val="20"/>
        </w:rPr>
        <w:t xml:space="preserve">. The Placement Notice shall be effective upon receipt by TD Cowen unless and until (i) in accordance with the notice requirements set forth in </w:t>
      </w:r>
      <w:r>
        <w:rPr>
          <w:rFonts w:ascii="Times New Roman" w:hAnsi="Times New Roman"/>
          <w:sz w:val="20"/>
          <w:u w:val="single"/>
        </w:rPr>
        <w:t>Section 4</w:t>
      </w:r>
      <w:r>
        <w:rPr>
          <w:rFonts w:ascii="Times New Roman" w:hAnsi="Times New Roman"/>
          <w:sz w:val="20"/>
        </w:rPr>
        <w:t xml:space="preserve">, TD Cowen declines to accept the terms contained therein for any reason, in its sole discretion, which declination must occur within two (2) Business Days of the date TD Cowen receives the Placement Notice, (ii) the entire amount of the Placement Shares thereunder have been sold, (iii) in accordance with the notice requirements set forth in </w:t>
      </w:r>
      <w:r>
        <w:rPr>
          <w:rFonts w:ascii="Times New Roman" w:hAnsi="Times New Roman"/>
          <w:sz w:val="20"/>
          <w:u w:val="single"/>
        </w:rPr>
        <w:t>Section 4</w:t>
      </w:r>
      <w:r>
        <w:rPr>
          <w:rFonts w:ascii="Times New Roman" w:hAnsi="Times New Roman"/>
          <w:sz w:val="20"/>
        </w:rPr>
        <w:t xml:space="preserve">, the Company suspends or terminates the Placement Notice, which it may do for any reason, in its sole discretion, (iv) the Company issues a subsequent Placement Notice with parameters superseding those on the earlier dated Placement Notice, which it may do for any reason, in its sole discretion, or (v) this Agreement has been terminated under the provisions of </w:t>
      </w:r>
      <w:r>
        <w:rPr>
          <w:rFonts w:ascii="Times New Roman" w:hAnsi="Times New Roman"/>
          <w:sz w:val="20"/>
          <w:u w:val="single"/>
        </w:rPr>
        <w:t>Section 11</w:t>
      </w:r>
      <w:r>
        <w:rPr>
          <w:rFonts w:ascii="Times New Roman" w:hAnsi="Times New Roman"/>
          <w:sz w:val="20"/>
        </w:rPr>
        <w:t xml:space="preserve">. The amount of any discount, commission or other compensation to be paid by the Company to TD Cowen in connection with the sale of the Placement Shares shall be calculated in accordance with the terms set forth in </w:t>
      </w:r>
      <w:r>
        <w:rPr>
          <w:rFonts w:ascii="Times New Roman" w:hAnsi="Times New Roman"/>
          <w:b/>
          <w:sz w:val="20"/>
          <w:u w:val="single"/>
        </w:rPr>
        <w:t>Schedule 3</w:t>
      </w:r>
      <w:r>
        <w:rPr>
          <w:rFonts w:ascii="Times New Roman" w:hAnsi="Times New Roman"/>
          <w:b/>
          <w:sz w:val="20"/>
        </w:rPr>
        <w:t>.</w:t>
      </w:r>
      <w:r>
        <w:rPr>
          <w:rFonts w:ascii="Times New Roman" w:hAnsi="Times New Roman"/>
          <w:sz w:val="20"/>
        </w:rPr>
        <w:t xml:space="preserve"> It is expressly acknowledged and agreed that neither the Company nor TD Cowen will have any obligation whatsoever with respect to a Placement or any Placement Shares unless and until the Company delivers a Placement Notice to TD Cowen and TD Cowen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 </w:t>
      </w:r>
    </w:p>
    <w:p>
      <w:pPr>
        <w:pStyle w:val="TextBody"/>
        <w:bidi w:val="0"/>
        <w:spacing w:before="120" w:after="0"/>
        <w:jc w:val="left"/>
        <w:rPr>
          <w:rFonts w:ascii="Times New Roman" w:hAnsi="Times New Roman"/>
          <w:sz w:val="20"/>
        </w:rPr>
      </w:pPr>
      <w:r>
        <w:rPr>
          <w:rFonts w:ascii="Times New Roman" w:hAnsi="Times New Roman"/>
          <w:sz w:val="20"/>
        </w:rPr>
        <w:t>3. </w:t>
      </w:r>
      <w:r>
        <w:rPr>
          <w:rFonts w:ascii="Times New Roman" w:hAnsi="Times New Roman"/>
          <w:sz w:val="20"/>
          <w:u w:val="single"/>
        </w:rPr>
        <w:t>Sale of Placement Shares by TD Cowen.</w:t>
      </w:r>
      <w:r>
        <w:rPr>
          <w:rFonts w:ascii="Times New Roman" w:hAnsi="Times New Roman"/>
          <w:sz w:val="20"/>
        </w:rPr>
        <w:t xml:space="preserve"> Subject to the terms and conditions herein set forth, upon the Company’s delivery of a Placement Notice, and unless the sale of the Placement Shares described therein has been declined, suspended, or otherwise terminated in accordance with the terms of this Agreement, TD Cowen, for the period specified in the Placement Notice, will use its commercially reasonable efforts consistent with its normal trading and sales practices and applicable state and federal laws, rules and regulations and the rules of the Nasdaq Stock Market, Inc. (“</w:t>
      </w:r>
      <w:r>
        <w:rPr>
          <w:rFonts w:ascii="Times New Roman" w:hAnsi="Times New Roman"/>
          <w:b/>
          <w:sz w:val="20"/>
          <w:u w:val="single"/>
        </w:rPr>
        <w:t>Nasdaq</w:t>
      </w:r>
      <w:r>
        <w:rPr>
          <w:rFonts w:ascii="Times New Roman" w:hAnsi="Times New Roman"/>
          <w:sz w:val="20"/>
        </w:rPr>
        <w:t xml:space="preserve">”) to sell such Placement Shares up to the amount specified, and otherwise in accordance with the terms of such Placement Notice. TD Cowen will provide written confirmation to the Company (including by email correspondence to each of the individuals of the Company set forth on </w:t>
      </w:r>
      <w:r>
        <w:rPr>
          <w:rFonts w:ascii="Times New Roman" w:hAnsi="Times New Roman"/>
          <w:b/>
          <w:sz w:val="20"/>
          <w:u w:val="single"/>
        </w:rPr>
        <w:t>Schedule 2</w:t>
      </w:r>
      <w:r>
        <w:rPr>
          <w:rFonts w:ascii="Times New Roman" w:hAnsi="Times New Roman"/>
          <w:sz w:val="20"/>
        </w:rPr>
        <w:t>, if receipt of such correspondence is actually acknowledged by any of the individuals to whom the notice is sent, other than via auto-reply) no later than the opening of the Trading Day (as defined below) immediately following the Trading Day on which it has made sales of Placement Shares hereunder setting forth the number of Placement Shares sold on such day, the volume-weighted average price of the Placement Shares sold, and the Net Proceeds (as defined below) payable to the Company. In the event the Company engages TD Cowen for a sale of Placement Shares that would constitute a “block” within the meaning of Rule 10b-18(a)(5) under the Exchange Act (a “</w:t>
      </w:r>
      <w:r>
        <w:rPr>
          <w:rFonts w:ascii="Times New Roman" w:hAnsi="Times New Roman"/>
          <w:b/>
          <w:sz w:val="20"/>
          <w:u w:val="single"/>
        </w:rPr>
        <w:t>Block Sale</w:t>
      </w:r>
      <w:r>
        <w:rPr>
          <w:rFonts w:ascii="Times New Roman" w:hAnsi="Times New Roman"/>
          <w:sz w:val="20"/>
        </w:rPr>
        <w:t xml:space="preserve">”), the Company will provide TD Cowen, at TD Cowen’s request and upon reasonable advance notice to the Company, on or prior to the Settlement Date (as defined below), the opinions of counsel, accountant’s letter and officers’ certificates set forth in </w:t>
      </w:r>
      <w:r>
        <w:rPr>
          <w:rFonts w:ascii="Times New Roman" w:hAnsi="Times New Roman"/>
          <w:sz w:val="20"/>
          <w:u w:val="single"/>
        </w:rPr>
        <w:t>Section 8</w:t>
      </w:r>
      <w:r>
        <w:rPr>
          <w:rFonts w:ascii="Times New Roman" w:hAnsi="Times New Roman"/>
          <w:sz w:val="20"/>
        </w:rPr>
        <w:t xml:space="preserve"> hereof, each dated the Settlement Date, and such other documents and information as TD Cowen shall reasonably request. TD Cowen may sell Placement Shares in negotiated transactions, including block trades or Block Sales, or by any method permitted by law deemed to be an “at the market” offering as defined in Rule 415 of the Securities Act, including without limitation sales made through Nasdaq or on any other existing trading market for the Ordinary Shares, or by any other method permitted by law. TD Cowen shall not purchase Placement Shares for its own account as principal unless expressly authorized to do so by the Company in a Placement Notice. The Company acknowledges and agrees that (i) there can be no assurance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TD Cowen will be successful in selling Placement Shares, and (ii) TD Cowen will incur no liability or obligation to the Company or any other person or entity if it does not sell Placement Shares for any reason other than a failure by TD Cowen to use its commercially reasonable efforts consistent with its normal trading and sales practices to sell such Placement Shares as required under this </w:t>
      </w:r>
      <w:r>
        <w:rPr>
          <w:rFonts w:ascii="Times New Roman" w:hAnsi="Times New Roman"/>
          <w:sz w:val="20"/>
          <w:u w:val="single"/>
        </w:rPr>
        <w:t>Section 3</w:t>
      </w:r>
      <w:r>
        <w:rPr>
          <w:rFonts w:ascii="Times New Roman" w:hAnsi="Times New Roman"/>
          <w:sz w:val="20"/>
        </w:rPr>
        <w:t>. For the purposes hereof, “</w:t>
      </w:r>
      <w:r>
        <w:rPr>
          <w:rFonts w:ascii="Times New Roman" w:hAnsi="Times New Roman"/>
          <w:b/>
          <w:sz w:val="20"/>
          <w:u w:val="single"/>
        </w:rPr>
        <w:t>Trading Day</w:t>
      </w:r>
      <w:r>
        <w:rPr>
          <w:rFonts w:ascii="Times New Roman" w:hAnsi="Times New Roman"/>
          <w:sz w:val="20"/>
        </w:rPr>
        <w:t xml:space="preserve">” means any day on which the Company’s Ordinary Shares are purchased and sold on the principal market on which the Ordinary Shares are listed or quoted. </w:t>
      </w:r>
    </w:p>
    <w:p>
      <w:pPr>
        <w:pStyle w:val="TextBody"/>
        <w:bidi w:val="0"/>
        <w:spacing w:before="240" w:after="0"/>
        <w:jc w:val="left"/>
        <w:rPr>
          <w:rFonts w:ascii="Times New Roman" w:hAnsi="Times New Roman"/>
          <w:sz w:val="20"/>
        </w:rPr>
      </w:pPr>
      <w:r>
        <w:rPr>
          <w:rFonts w:ascii="Times New Roman" w:hAnsi="Times New Roman"/>
          <w:sz w:val="20"/>
        </w:rPr>
        <w:t>Notwithstanding any other provision of this Agreement, the Company shall not offer, sell or deliver, or request the offer or sale, of any Placement Shares pursuant to this Agreement and, by notice to TD Cowen given by telephone (confirmed promptly by email), shall cancel any instructions for the offer or sale of any Placement Shares, and TD Cowen shall not be obligated to offer or sell any Placement Shares, (i) during any period in which the Company is, or could be deemed to be, in possession of material non-public information, or (ii) at any time from and including the date on which the Company shall issue a press release containing, or shall otherwise publicly announce, its earnings, revenues or other results of operations (an “</w:t>
      </w:r>
      <w:r>
        <w:rPr>
          <w:rFonts w:ascii="Times New Roman" w:hAnsi="Times New Roman"/>
          <w:b/>
          <w:sz w:val="20"/>
          <w:u w:val="single"/>
        </w:rPr>
        <w:t>Earnings Announcement</w:t>
      </w:r>
      <w:r>
        <w:rPr>
          <w:rFonts w:ascii="Times New Roman" w:hAnsi="Times New Roman"/>
          <w:sz w:val="20"/>
        </w:rPr>
        <w:t xml:space="preserve">”) through and including the time that the Company files a Quarterly Report on Form 10-Q or an Annual Report on Form 10-K that includes consolidated financial statements as of and for the same period or periods, as the case may be, covered by such Earnings Announcement. </w:t>
      </w:r>
    </w:p>
    <w:p>
      <w:pPr>
        <w:pStyle w:val="TextBody"/>
        <w:bidi w:val="0"/>
        <w:spacing w:before="120" w:after="0"/>
        <w:jc w:val="left"/>
        <w:rPr>
          <w:rFonts w:ascii="Times New Roman" w:hAnsi="Times New Roman"/>
          <w:sz w:val="20"/>
        </w:rPr>
      </w:pPr>
      <w:r>
        <w:rPr>
          <w:rFonts w:ascii="Times New Roman" w:hAnsi="Times New Roman"/>
          <w:sz w:val="20"/>
        </w:rPr>
        <w:t>4. </w:t>
      </w:r>
      <w:r>
        <w:rPr>
          <w:rFonts w:ascii="Times New Roman" w:hAnsi="Times New Roman"/>
          <w:sz w:val="20"/>
          <w:u w:val="single"/>
        </w:rPr>
        <w:t>Suspension of Sales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or TD Cowen may, upon notice to the other party in writing (including by email correspondence to each of the individuals of the other party set forth on </w:t>
      </w:r>
      <w:r>
        <w:rPr>
          <w:rFonts w:ascii="Times New Roman" w:hAnsi="Times New Roman"/>
          <w:b/>
          <w:sz w:val="20"/>
          <w:u w:val="single"/>
        </w:rPr>
        <w:t>Schedule 2</w:t>
      </w:r>
      <w:r>
        <w:rPr>
          <w:rFonts w:ascii="Times New Roman" w:hAnsi="Times New Roman"/>
          <w:sz w:val="20"/>
        </w:rPr>
        <w:t xml:space="preserve">, if receipt of such correspondence is actually acknowledged by any of the individuals to whom the notice is sent, other than via auto-reply) or by telephone (confirmed immediately by email correspondence to each of the individuals of the other party set forth on </w:t>
      </w:r>
      <w:r>
        <w:rPr>
          <w:rFonts w:ascii="Times New Roman" w:hAnsi="Times New Roman"/>
          <w:b/>
          <w:sz w:val="20"/>
          <w:u w:val="single"/>
        </w:rPr>
        <w:t>Schedule 2</w:t>
      </w:r>
      <w:r>
        <w:rPr>
          <w:rFonts w:ascii="Times New Roman" w:hAnsi="Times New Roman"/>
          <w:sz w:val="20"/>
        </w:rPr>
        <w:t xml:space="preserve">), suspend any sale of Placement Shares; </w:t>
      </w:r>
      <w:r>
        <w:rPr>
          <w:rFonts w:ascii="Times New Roman" w:hAnsi="Times New Roman"/>
          <w:i/>
          <w:sz w:val="20"/>
        </w:rPr>
        <w:t>provided, however</w:t>
      </w:r>
      <w:r>
        <w:rPr>
          <w:rFonts w:ascii="Times New Roman" w:hAnsi="Times New Roman"/>
          <w:sz w:val="20"/>
        </w:rPr>
        <w:t xml:space="preserve">, that such suspension shall not affect or impair either party’s obligations with respect to any Placement Shares sold hereunder prior to the receipt of such notice. While a suspension pursuant to this </w:t>
      </w:r>
      <w:r>
        <w:rPr>
          <w:rFonts w:ascii="Times New Roman" w:hAnsi="Times New Roman"/>
          <w:sz w:val="20"/>
          <w:u w:val="single"/>
        </w:rPr>
        <w:t>Section 4(a)</w:t>
      </w:r>
      <w:r>
        <w:rPr>
          <w:rFonts w:ascii="Times New Roman" w:hAnsi="Times New Roman"/>
          <w:sz w:val="20"/>
        </w:rPr>
        <w:t xml:space="preserve"> is in effect, any obligation under </w:t>
      </w:r>
      <w:r>
        <w:rPr>
          <w:rFonts w:ascii="Times New Roman" w:hAnsi="Times New Roman"/>
          <w:sz w:val="20"/>
          <w:u w:val="single"/>
        </w:rPr>
        <w:t>Sections 7(m)</w:t>
      </w:r>
      <w:r>
        <w:rPr>
          <w:rFonts w:ascii="Times New Roman" w:hAnsi="Times New Roman"/>
          <w:sz w:val="20"/>
        </w:rPr>
        <w:t xml:space="preserve">, </w:t>
      </w:r>
      <w:r>
        <w:rPr>
          <w:rFonts w:ascii="Times New Roman" w:hAnsi="Times New Roman"/>
          <w:sz w:val="20"/>
          <w:u w:val="single"/>
        </w:rPr>
        <w:t>7(n)</w:t>
      </w:r>
      <w:r>
        <w:rPr>
          <w:rFonts w:ascii="Times New Roman" w:hAnsi="Times New Roman"/>
          <w:sz w:val="20"/>
        </w:rPr>
        <w:t xml:space="preserve">, and </w:t>
      </w:r>
      <w:r>
        <w:rPr>
          <w:rFonts w:ascii="Times New Roman" w:hAnsi="Times New Roman"/>
          <w:sz w:val="20"/>
          <w:u w:val="single"/>
        </w:rPr>
        <w:t>7(o)</w:t>
      </w:r>
      <w:r>
        <w:rPr>
          <w:rFonts w:ascii="Times New Roman" w:hAnsi="Times New Roman"/>
          <w:sz w:val="20"/>
        </w:rPr>
        <w:t xml:space="preserve"> with respect to the delivery of certificates, opinions, or comfort letters to TD Cowen shall be automatically waived; provided, that upon delivery of a Placement Notice following a Representation Date, the Company shall be subject to the obligations set forth in </w:t>
      </w:r>
      <w:r>
        <w:rPr>
          <w:rFonts w:ascii="Times New Roman" w:hAnsi="Times New Roman"/>
          <w:sz w:val="20"/>
          <w:u w:val="single"/>
        </w:rPr>
        <w:t>Sections 7(m)</w:t>
      </w:r>
      <w:r>
        <w:rPr>
          <w:rFonts w:ascii="Times New Roman" w:hAnsi="Times New Roman"/>
          <w:sz w:val="20"/>
        </w:rPr>
        <w:t xml:space="preserve">, </w:t>
      </w:r>
      <w:r>
        <w:rPr>
          <w:rFonts w:ascii="Times New Roman" w:hAnsi="Times New Roman"/>
          <w:sz w:val="20"/>
          <w:u w:val="single"/>
        </w:rPr>
        <w:t>7(n)</w:t>
      </w:r>
      <w:r>
        <w:rPr>
          <w:rFonts w:ascii="Times New Roman" w:hAnsi="Times New Roman"/>
          <w:sz w:val="20"/>
        </w:rPr>
        <w:t xml:space="preserve">, and </w:t>
      </w:r>
      <w:r>
        <w:rPr>
          <w:rFonts w:ascii="Times New Roman" w:hAnsi="Times New Roman"/>
          <w:sz w:val="20"/>
          <w:u w:val="single"/>
        </w:rPr>
        <w:t>7(o)</w:t>
      </w:r>
      <w:r>
        <w:rPr>
          <w:rFonts w:ascii="Times New Roman" w:hAnsi="Times New Roman"/>
          <w:sz w:val="20"/>
        </w:rPr>
        <w:t xml:space="preserve">, as applicable. Each of the parties agrees that no such notice under this </w:t>
      </w:r>
      <w:r>
        <w:rPr>
          <w:rFonts w:ascii="Times New Roman" w:hAnsi="Times New Roman"/>
          <w:sz w:val="20"/>
          <w:u w:val="single"/>
        </w:rPr>
        <w:t>Section 4</w:t>
      </w:r>
      <w:r>
        <w:rPr>
          <w:rFonts w:ascii="Times New Roman" w:hAnsi="Times New Roman"/>
          <w:sz w:val="20"/>
        </w:rPr>
        <w:t xml:space="preserve"> shall be effective against the other unless it is made to one of the individuals named on </w:t>
      </w:r>
      <w:r>
        <w:rPr>
          <w:rFonts w:ascii="Times New Roman" w:hAnsi="Times New Roman"/>
          <w:b/>
          <w:sz w:val="20"/>
          <w:u w:val="single"/>
        </w:rPr>
        <w:t>Schedule 2</w:t>
      </w:r>
      <w:r>
        <w:rPr>
          <w:rFonts w:ascii="Times New Roman" w:hAnsi="Times New Roman"/>
          <w:sz w:val="20"/>
        </w:rPr>
        <w:t xml:space="preserve"> hereto, as such schedule may be amended from time to time. </w:t>
      </w:r>
    </w:p>
    <w:p>
      <w:pPr>
        <w:pStyle w:val="TextBody"/>
        <w:bidi w:val="0"/>
        <w:spacing w:before="120" w:after="0"/>
        <w:jc w:val="left"/>
        <w:rPr>
          <w:rFonts w:ascii="Times New Roman" w:hAnsi="Times New Roman"/>
          <w:sz w:val="20"/>
        </w:rPr>
      </w:pPr>
      <w:r>
        <w:rPr>
          <w:rFonts w:ascii="Times New Roman" w:hAnsi="Times New Roman"/>
          <w:sz w:val="20"/>
        </w:rPr>
        <w:t xml:space="preserve">(b) If either TD Cowen or the Company has reason to believe that the exemptive provisions set forth in Rule 101(c)(1) of Regulation M under the Exchange Act are not satisfied with respect to the Ordinary Shares, it shall promptly notify the other party, and TD Cowen may, at its sole discretion, suspend sales of the Placement Shares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The Registration Statement automatically became effective upon filing. Notwithstanding any other provision of this Agreement, during any period in which the Registration Statement is no longer effective under the Securities Act, the Company shall promptly notify TD Cowen, the Company shall not request the sale of any Placement Shares, and TD Cowen shall not be obligated to sell or offer to sell any Placement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5. </w:t>
      </w:r>
      <w:r>
        <w:rPr>
          <w:rFonts w:ascii="Times New Roman" w:hAnsi="Times New Roman"/>
          <w:sz w:val="20"/>
          <w:u w:val="single"/>
        </w:rPr>
        <w:t>Settlement.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Settlement of Placement Shares</w:t>
      </w:r>
      <w:r>
        <w:rPr>
          <w:rFonts w:ascii="Times New Roman" w:hAnsi="Times New Roman"/>
          <w:sz w:val="20"/>
        </w:rPr>
        <w:t>. Unless otherwise specified in the applicable Placement Notice, settlement for sales of Placement Shares will occur on the first (1st) Trading Day following the date on which such sales are made (each, a “</w:t>
      </w:r>
      <w:r>
        <w:rPr>
          <w:rFonts w:ascii="Times New Roman" w:hAnsi="Times New Roman"/>
          <w:b/>
          <w:sz w:val="20"/>
          <w:u w:val="single"/>
        </w:rPr>
        <w:t>Settlement Date</w:t>
      </w:r>
      <w:r>
        <w:rPr>
          <w:rFonts w:ascii="Times New Roman" w:hAnsi="Times New Roman"/>
          <w:sz w:val="20"/>
        </w:rPr>
        <w:t>” and the first such settlement date, the “</w:t>
      </w:r>
      <w:r>
        <w:rPr>
          <w:rFonts w:ascii="Times New Roman" w:hAnsi="Times New Roman"/>
          <w:b/>
          <w:sz w:val="20"/>
          <w:u w:val="single"/>
        </w:rPr>
        <w:t>First Delivery Date</w:t>
      </w:r>
      <w:r>
        <w:rPr>
          <w:rFonts w:ascii="Times New Roman" w:hAnsi="Times New Roman"/>
          <w:sz w:val="20"/>
        </w:rPr>
        <w:t>”). The amount of proceeds to be delivered to the Company on a Settlement Date against receipt of the Placement Shares sold (the “</w:t>
      </w:r>
      <w:r>
        <w:rPr>
          <w:rFonts w:ascii="Times New Roman" w:hAnsi="Times New Roman"/>
          <w:b/>
          <w:sz w:val="20"/>
          <w:u w:val="single"/>
        </w:rPr>
        <w:t>Net Proceeds</w:t>
      </w:r>
      <w:r>
        <w:rPr>
          <w:rFonts w:ascii="Times New Roman" w:hAnsi="Times New Roman"/>
          <w:sz w:val="20"/>
        </w:rPr>
        <w:t xml:space="preserve">”) will be equal to the aggregate sales price received by TD Cowen at which such Placement Shares were sold, after deduction for (i) TD Cowen’s commission, discount or other compensation for such sales payable by the Company pursuant to </w:t>
      </w:r>
      <w:r>
        <w:rPr>
          <w:rFonts w:ascii="Times New Roman" w:hAnsi="Times New Roman"/>
          <w:sz w:val="20"/>
          <w:u w:val="single"/>
        </w:rPr>
        <w:t>Section 2</w:t>
      </w:r>
      <w:r>
        <w:rPr>
          <w:rFonts w:ascii="Times New Roman" w:hAnsi="Times New Roman"/>
          <w:sz w:val="20"/>
        </w:rPr>
        <w:t xml:space="preserve"> hereof, (ii) any other amounts due and payable by the Company to TD Cowen hereunder pursuant to </w:t>
      </w:r>
      <w:r>
        <w:rPr>
          <w:rFonts w:ascii="Times New Roman" w:hAnsi="Times New Roman"/>
          <w:sz w:val="20"/>
          <w:u w:val="single"/>
        </w:rPr>
        <w:t>Section 7(g)</w:t>
      </w:r>
      <w:r>
        <w:rPr>
          <w:rFonts w:ascii="Times New Roman" w:hAnsi="Times New Roman"/>
          <w:sz w:val="20"/>
        </w:rPr>
        <w:t xml:space="preserve"> (Expenses) hereof, provided that TD Cowen shall provide to the Company reasonable documentation of such amounts, and (iii) any transaction fees imposed on TD Cowen by any governmental or self-regulatory organization in respect of such sales, provided that TD Cowen shall provide to the Company reasonable documentation of such amounts.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sz w:val="20"/>
          <w:u w:val="single"/>
        </w:rPr>
        <w:t>Delivery of Placement Shares</w:t>
      </w:r>
      <w:r>
        <w:rPr>
          <w:rFonts w:ascii="Times New Roman" w:hAnsi="Times New Roman"/>
          <w:sz w:val="20"/>
        </w:rPr>
        <w:t>. On or before each Settlement Date, the Company will, or will cause its transfer agent to, electronically transfer the Placement Shares being sold by crediting TD Cowen’s or its designee’s account (provided TD Cowen shall have given the Company written notice of such designee prior to the Settlement Date) at The Depository Trust Company through its Deposit and Withdrawal at Custodian System (“</w:t>
      </w:r>
      <w:r>
        <w:rPr>
          <w:rFonts w:ascii="Times New Roman" w:hAnsi="Times New Roman"/>
          <w:b/>
          <w:sz w:val="20"/>
          <w:u w:val="single"/>
        </w:rPr>
        <w:t>DWAC</w:t>
      </w:r>
      <w:r>
        <w:rPr>
          <w:rFonts w:ascii="Times New Roman" w:hAnsi="Times New Roman"/>
          <w:sz w:val="20"/>
        </w:rPr>
        <w:t xml:space="preserve">”) or by such other means of delivery as may be mutually agreed upon by the parties hereto which in all cases shall be freely tradeable, transferable, registered shares in good deliverable form. On each Settlement Date, TD Cowen will deliver the related Net Proceeds in same day funds to an account designated by the Company on, or prior to, the Settlement Date. TD Cowen shall be responsible for providing DWAC instructions or other instructions for delivery by other means with regard to the transfer of the Placement Shares. The Company agrees that if the Company, or its transfer agent (if applicable), defaults in its obligation to deliver duly authorized Placement Shares on a Settlement Date (other than as a result of a failure by TD Cowen to provide true and correct instructions for delivery in a timely manner), the Company agrees that in addition to and in no way limiting the rights and obligations set forth in </w:t>
      </w:r>
      <w:r>
        <w:rPr>
          <w:rFonts w:ascii="Times New Roman" w:hAnsi="Times New Roman"/>
          <w:sz w:val="20"/>
          <w:u w:val="single"/>
        </w:rPr>
        <w:t>Section 9(a)</w:t>
      </w:r>
      <w:r>
        <w:rPr>
          <w:rFonts w:ascii="Times New Roman" w:hAnsi="Times New Roman"/>
          <w:sz w:val="20"/>
        </w:rPr>
        <w:t xml:space="preserve"> (Indemnification and Contribution) hereto, it will (i) hold TD Cowen harmless against any loss, claim, damage, or reasonable and documented expense (including reasonable and documented legal fees and expenses), as incurred, arising out of or in connection with such default by the Company and (ii) pay to TD Cowen (without duplication) any commission, discount, or other compensation to which it would otherwise have been entitled absent such default. </w:t>
      </w:r>
    </w:p>
    <w:p>
      <w:pPr>
        <w:pStyle w:val="TextBody"/>
        <w:bidi w:val="0"/>
        <w:spacing w:before="120" w:after="0"/>
        <w:jc w:val="left"/>
        <w:rPr>
          <w:rFonts w:ascii="Times New Roman" w:hAnsi="Times New Roman"/>
          <w:sz w:val="20"/>
        </w:rPr>
      </w:pPr>
      <w:r>
        <w:rPr>
          <w:rFonts w:ascii="Times New Roman" w:hAnsi="Times New Roman"/>
          <w:sz w:val="20"/>
        </w:rPr>
        <w:t>6. </w:t>
      </w:r>
      <w:r>
        <w:rPr>
          <w:rFonts w:ascii="Times New Roman" w:hAnsi="Times New Roman"/>
          <w:sz w:val="20"/>
          <w:u w:val="single"/>
        </w:rPr>
        <w:t>Representations and Warranties of the Company</w:t>
      </w:r>
      <w:r>
        <w:rPr>
          <w:rFonts w:ascii="Times New Roman" w:hAnsi="Times New Roman"/>
          <w:sz w:val="20"/>
        </w:rPr>
        <w:t>. The Company represents and warrants to, and agrees with, TD Cowen that, unless such representation, warranty or agreement specifies a different time, as of (i) the date of this Agreement, (ii) each Time of Sale (as defined below), (iii) each Settlement Date, and (iv) each Bring-Down Date (as defined below) (each date included in (i) through (iv), a “</w:t>
      </w:r>
      <w:r>
        <w:rPr>
          <w:rFonts w:ascii="Times New Roman" w:hAnsi="Times New Roman"/>
          <w:b/>
          <w:sz w:val="20"/>
          <w:u w:val="single"/>
        </w:rPr>
        <w:t>Representation Date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 </w:t>
      </w:r>
      <w:r>
        <w:rPr>
          <w:rFonts w:ascii="Times New Roman" w:hAnsi="Times New Roman"/>
          <w:sz w:val="20"/>
          <w:u w:val="single"/>
        </w:rPr>
        <w:t>Compliance with Registration Requirements</w:t>
      </w:r>
      <w:r>
        <w:rPr>
          <w:rFonts w:ascii="Times New Roman" w:hAnsi="Times New Roman"/>
          <w:sz w:val="20"/>
        </w:rPr>
        <w:t xml:space="preserve">. The Registration Statement is an “automatic shelf registration statement” on Form S-3 as defined in Rule 405 of the Securities Act and became effective automatically upon filing with the Commission under the Securities Act. The Company will comply to the Commission’s satisfaction with all requests of the Commission for additional or supplemental information related to the Registration Statement, if any. No stop order suspending the effectiveness of the Registration Statement or any Rule 462(b) Registration Statement is in effect and no proceedings for such purpose have been instituted or are pending or, to the knowledge of the Company, contemplated or threatened by the Commission. The Company meets the requirements for use of Form S-3 under the Securities Act. The sale of the Placement Shares hereunder meets the requirements of General Instruction I.B.1 of Form S-3.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sz w:val="20"/>
          <w:u w:val="single"/>
        </w:rPr>
        <w:t>No Misstatement or Omission</w:t>
      </w:r>
      <w:r>
        <w:rPr>
          <w:rFonts w:ascii="Times New Roman" w:hAnsi="Times New Roman"/>
          <w:sz w:val="20"/>
        </w:rPr>
        <w:t>. The Prospectus when filed and, as amended or supplemented, if applicable, will comply in all material respects with the Securities Act. Each of the Registration Statement, any Rule 462(b) Registration Statement, the Prospectus and any post-effective amendments or supplements thereto, including the post-effective amendment to be filed on the date hereof, at the time it becomes effective or its date, as applicable, and as of each Representation Date, will comply in all material respects with the Securities Act and will not contain any untrue statement of a material fact or omit to state a material fact required to be stated therein or necessary to make the statements therein not misleading. The Prospectus, as amended or supplemented, as of its date and as of each Representation Date, will not contain any untrue statement of a material fact or omit to state a material fact necessary in order to make the statements therein, in the light of the circumstances under which they were made, not misleading. The representations and warranties set forth in the two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Agent’s Information (as defined below). There are no contracts or other documents required to be described in the Prospectus or to be filed as exhibits to the Registration Statement which have not been described or filed as required. As used herein, “</w:t>
      </w:r>
      <w:r>
        <w:rPr>
          <w:rFonts w:ascii="Times New Roman" w:hAnsi="Times New Roman"/>
          <w:b/>
          <w:sz w:val="20"/>
          <w:u w:val="single"/>
        </w:rPr>
        <w:t>Time of Sale</w:t>
      </w:r>
      <w:r>
        <w:rPr>
          <w:rFonts w:ascii="Times New Roman" w:hAnsi="Times New Roman"/>
          <w:sz w:val="20"/>
        </w:rPr>
        <w:t xml:space="preserve">” means with respect to each offering of Placement Shares pursuant to this Agreement, the time of TD Cowen’s initial entry into contracts with purchasers for the sale of such Placement Shares.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sz w:val="20"/>
          <w:u w:val="single"/>
        </w:rPr>
        <w:t>Offering Materials Furnished to TD Cowen</w:t>
      </w:r>
      <w:r>
        <w:rPr>
          <w:rFonts w:ascii="Times New Roman" w:hAnsi="Times New Roman"/>
          <w:sz w:val="20"/>
        </w:rPr>
        <w:t xml:space="preserve">. Except as otherwise available on EDGAR, the Company has delivered to TD Cowen one complete copy of the Registration Statement and a copy of each consent and certificate of experts filed as a part thereof, and conformed copies of the Registration Statement (without exhibits) and the Prospectus, as amended or supplemented, in such quantities and at such places as TD Cowen has reasonably requested. The Registration Statement, the Prospectus and any Permitted Free Writing Prospectus (to the extent any such Permitted Free Writing Prospectus was required to be filed with the Commission) delivered to TD Cowen for use in connection with the public offering of the Placement Shares contemplated herein have been and will be identical to the versions of such documents transmitted to the Commission for filing via EDGAR, except to the extent permitted by Regulation S-T. </w:t>
      </w:r>
    </w:p>
    <w:p>
      <w:pPr>
        <w:pStyle w:val="TextBody"/>
        <w:bidi w:val="0"/>
        <w:spacing w:before="120" w:after="0"/>
        <w:jc w:val="left"/>
        <w:rPr>
          <w:rFonts w:ascii="Times New Roman" w:hAnsi="Times New Roman"/>
          <w:sz w:val="20"/>
        </w:rPr>
      </w:pPr>
      <w:r>
        <w:rPr>
          <w:rFonts w:ascii="Times New Roman" w:hAnsi="Times New Roman"/>
          <w:sz w:val="20"/>
        </w:rPr>
        <w:t xml:space="preserve">(d) [Reserved.] </w:t>
      </w:r>
    </w:p>
    <w:p>
      <w:pPr>
        <w:pStyle w:val="TextBody"/>
        <w:bidi w:val="0"/>
        <w:spacing w:before="120" w:after="0"/>
        <w:jc w:val="left"/>
        <w:rPr>
          <w:rFonts w:ascii="Times New Roman" w:hAnsi="Times New Roman"/>
          <w:sz w:val="20"/>
        </w:rPr>
      </w:pPr>
      <w:r>
        <w:rPr>
          <w:rFonts w:ascii="Times New Roman" w:hAnsi="Times New Roman"/>
          <w:sz w:val="20"/>
        </w:rPr>
        <w:t>(e) </w:t>
      </w:r>
      <w:r>
        <w:rPr>
          <w:rFonts w:ascii="Times New Roman" w:hAnsi="Times New Roman"/>
          <w:sz w:val="20"/>
          <w:u w:val="single"/>
        </w:rPr>
        <w:t>WKSI</w:t>
      </w:r>
      <w:r>
        <w:rPr>
          <w:rFonts w:ascii="Times New Roman" w:hAnsi="Times New Roman"/>
          <w:sz w:val="20"/>
        </w:rPr>
        <w:t xml:space="preserve">. The Company is a “well known seasoned issuer” as defined in Rule 405 and will have been a “well known seasoned issuer” (i) at the time of filing the Registration Statement, (ii) at the time of the most recent amendment thereto, including for the purposes of complying with Section 10(a)(3) of the Securities Act (whether such amendment was by post-effective amendment, incorporated report filed pursuant to Section 13 or 15(d) of the Exchange Act or form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prospectus), (iii) at the time the Company or any person acting on its behalf (within the meaning, for this clause only, of Rule 163(c) under the Securities Act) made any offer relating to the Placement Shares in reliance on the exemption of Rule 163 under the Securities Act, and (iv) as of the time of any Placement.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Not an Ineligible Issuer</w:t>
      </w:r>
      <w:r>
        <w:rPr>
          <w:rFonts w:ascii="Times New Roman" w:hAnsi="Times New Roman"/>
          <w:sz w:val="20"/>
        </w:rPr>
        <w:t xml:space="preserve">. The Company currently is not an “ineligible issuer,” as defined in Rule 405 under the Securities Act. The Company agrees to notify TD Cowen promptly upon the Company becoming an “ineligible issuer.” </w:t>
      </w:r>
    </w:p>
    <w:p>
      <w:pPr>
        <w:pStyle w:val="TextBody"/>
        <w:bidi w:val="0"/>
        <w:spacing w:before="120" w:after="0"/>
        <w:jc w:val="left"/>
        <w:rPr>
          <w:rFonts w:ascii="Times New Roman" w:hAnsi="Times New Roman"/>
          <w:sz w:val="20"/>
        </w:rPr>
      </w:pPr>
      <w:r>
        <w:rPr>
          <w:rFonts w:ascii="Times New Roman" w:hAnsi="Times New Roman"/>
          <w:sz w:val="20"/>
        </w:rPr>
        <w:t>(g) </w:t>
      </w:r>
      <w:r>
        <w:rPr>
          <w:rFonts w:ascii="Times New Roman" w:hAnsi="Times New Roman"/>
          <w:sz w:val="20"/>
          <w:u w:val="single"/>
        </w:rPr>
        <w:t>Distribution of Offering Material By the Company</w:t>
      </w:r>
      <w:r>
        <w:rPr>
          <w:rFonts w:ascii="Times New Roman" w:hAnsi="Times New Roman"/>
          <w:sz w:val="20"/>
        </w:rPr>
        <w:t xml:space="preserve">. The Company has not distributed and will not distribute, prior to the completion of TD Cowen’s distribution of the Placement Shares, any offering material in connection with the offering and sale of the Placement Shares other than the Prospectus or the Registration Statement. </w:t>
      </w:r>
    </w:p>
    <w:p>
      <w:pPr>
        <w:pStyle w:val="TextBody"/>
        <w:bidi w:val="0"/>
        <w:spacing w:before="120" w:after="0"/>
        <w:jc w:val="left"/>
        <w:rPr>
          <w:rFonts w:ascii="Times New Roman" w:hAnsi="Times New Roman"/>
          <w:sz w:val="20"/>
        </w:rPr>
      </w:pPr>
      <w:r>
        <w:rPr>
          <w:rFonts w:ascii="Times New Roman" w:hAnsi="Times New Roman"/>
          <w:sz w:val="20"/>
        </w:rPr>
        <w:t>(h) </w:t>
      </w:r>
      <w:r>
        <w:rPr>
          <w:rFonts w:ascii="Times New Roman" w:hAnsi="Times New Roman"/>
          <w:sz w:val="20"/>
          <w:u w:val="single"/>
        </w:rPr>
        <w:t>The Sales Agreement</w:t>
      </w:r>
      <w:r>
        <w:rPr>
          <w:rFonts w:ascii="Times New Roman" w:hAnsi="Times New Roman"/>
          <w:sz w:val="20"/>
        </w:rPr>
        <w:t xml:space="preserve">. This Agreement has been duly authorized, executed and delivered by, and, assuming the due authorization, execution and delivery by TD Cowen, is a valid and binding agreement of, the Company, enforceable in accordance with its terms, except as rights to indemnification hereunder may be limited by applicable law and except as the enforcement hereof may be limited by bankruptcy, insolvency, reorganization, moratorium or other similar laws relating to or affecting the rights and remedies of creditors or by general equitable principles.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sz w:val="20"/>
          <w:u w:val="single"/>
        </w:rPr>
        <w:t>Authorization of the Ordinary Shares</w:t>
      </w:r>
      <w:r>
        <w:rPr>
          <w:rFonts w:ascii="Times New Roman" w:hAnsi="Times New Roman"/>
          <w:sz w:val="20"/>
        </w:rPr>
        <w:t>. The Placement Shares, when issued and delivered, will be duly authorized for issuance and sale pursuant to this Agreement and the Memorandum and Articles of Association of the Company and, when issued and delivered by the Company against payment therefor pursuant to this Agreement, will be duly authorized, and, following the register of members of the Company being updated to reflect the issuance of such Placement Shares, validly issued, fully paid and nonassessable, free and clear of any pledge, charge, lien, encumbrance, security interest or other claim, and the issuance and sale of the Placement Shares by the Company is not subject to preemptive or other similar rights arising by operation of law, under the organizational documents of the Company or under any agreement to which the Company or any of its subsidiaries (for purposes of this Agreement, as defined in Rule 405 under the Securities Act, each a “</w:t>
      </w:r>
      <w:r>
        <w:rPr>
          <w:rFonts w:ascii="Times New Roman" w:hAnsi="Times New Roman"/>
          <w:b/>
          <w:sz w:val="20"/>
          <w:u w:val="single"/>
        </w:rPr>
        <w:t>Subsidiary</w:t>
      </w:r>
      <w:r>
        <w:rPr>
          <w:rFonts w:ascii="Times New Roman" w:hAnsi="Times New Roman"/>
          <w:sz w:val="20"/>
        </w:rPr>
        <w:t>” and collectively, the “</w:t>
      </w:r>
      <w:r>
        <w:rPr>
          <w:rFonts w:ascii="Times New Roman" w:hAnsi="Times New Roman"/>
          <w:b/>
          <w:sz w:val="20"/>
          <w:u w:val="single"/>
        </w:rPr>
        <w:t>Subsidiaries</w:t>
      </w:r>
      <w:r>
        <w:rPr>
          <w:rFonts w:ascii="Times New Roman" w:hAnsi="Times New Roman"/>
          <w:sz w:val="20"/>
        </w:rPr>
        <w:t xml:space="preserve">”) is a party or otherwise, except as have been validly waived or complied with. </w:t>
      </w:r>
    </w:p>
    <w:p>
      <w:pPr>
        <w:pStyle w:val="TextBody"/>
        <w:bidi w:val="0"/>
        <w:spacing w:before="120" w:after="0"/>
        <w:jc w:val="left"/>
        <w:rPr>
          <w:rFonts w:ascii="Times New Roman" w:hAnsi="Times New Roman"/>
          <w:sz w:val="20"/>
        </w:rPr>
      </w:pPr>
      <w:r>
        <w:rPr>
          <w:rFonts w:ascii="Times New Roman" w:hAnsi="Times New Roman"/>
          <w:sz w:val="20"/>
        </w:rPr>
        <w:t>(j) </w:t>
      </w:r>
      <w:r>
        <w:rPr>
          <w:rFonts w:ascii="Times New Roman" w:hAnsi="Times New Roman"/>
          <w:sz w:val="20"/>
          <w:u w:val="single"/>
        </w:rPr>
        <w:t>No Applicable Registration or Other Similar Rights</w:t>
      </w:r>
      <w:r>
        <w:rPr>
          <w:rFonts w:ascii="Times New Roman" w:hAnsi="Times New Roman"/>
          <w:sz w:val="20"/>
        </w:rPr>
        <w:t xml:space="preserve">. There are no persons with registration or other similar rights to have any equity or debt securities registered for sale under the Registration Statement or included in the offering contemplated by this Agreement, except for such rights as have been duly waived or complied with. </w:t>
      </w:r>
    </w:p>
    <w:p>
      <w:pPr>
        <w:pStyle w:val="TextBody"/>
        <w:bidi w:val="0"/>
        <w:spacing w:before="120" w:after="0"/>
        <w:jc w:val="left"/>
        <w:rPr>
          <w:rFonts w:ascii="Times New Roman" w:hAnsi="Times New Roman"/>
          <w:sz w:val="20"/>
        </w:rPr>
      </w:pPr>
      <w:r>
        <w:rPr>
          <w:rFonts w:ascii="Times New Roman" w:hAnsi="Times New Roman"/>
          <w:sz w:val="20"/>
        </w:rPr>
        <w:t>(k) </w:t>
      </w:r>
      <w:r>
        <w:rPr>
          <w:rFonts w:ascii="Times New Roman" w:hAnsi="Times New Roman"/>
          <w:sz w:val="20"/>
          <w:u w:val="single"/>
        </w:rPr>
        <w:t>No Material Adverse Change</w:t>
      </w:r>
      <w:r>
        <w:rPr>
          <w:rFonts w:ascii="Times New Roman" w:hAnsi="Times New Roman"/>
          <w:sz w:val="20"/>
        </w:rPr>
        <w:t>. Except as otherwise disclosed in the Prospectus, subsequent to the respective dates as of which information is given in the Prospectus: (i) there has been no material adverse change, or any development that could reasonably be expected to result in a material adverse change, in the condition, financial or otherwise, or in the earnings, business, operations or prospects, whether or not arising from transactions in the ordinary course of business, of the Company and its Subsidiaries, considered as one entity (any such change is called a “</w:t>
      </w:r>
      <w:r>
        <w:rPr>
          <w:rFonts w:ascii="Times New Roman" w:hAnsi="Times New Roman"/>
          <w:b/>
          <w:sz w:val="20"/>
          <w:u w:val="single"/>
        </w:rPr>
        <w:t>Material Adverse Change</w:t>
      </w:r>
      <w:r>
        <w:rPr>
          <w:rFonts w:ascii="Times New Roman" w:hAnsi="Times New Roman"/>
          <w:sz w:val="20"/>
        </w:rPr>
        <w:t xml:space="preserve">”); (ii) the Company and its Subsidiaries, considered as one entity, have not incurred any material liability or obligation, indirect, direct or contingent, not in the ordinary course of business nor entered into any material transaction or agreement not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ordinary course of business: and (iii) there has been no dividend or distribution of any kind declared, paid or made by the Company or, except for regular quarterly dividends publicly announced by the Company or dividends paid to the Company or other Subsidiaries, by any of its Subsidiaries on any class of share capital or repurchase or redemption by the Company or any of its Subsidiaries of any class of share capital. </w:t>
      </w:r>
    </w:p>
    <w:p>
      <w:pPr>
        <w:pStyle w:val="TextBody"/>
        <w:bidi w:val="0"/>
        <w:spacing w:before="120" w:after="0"/>
        <w:jc w:val="left"/>
        <w:rPr>
          <w:rFonts w:ascii="Times New Roman" w:hAnsi="Times New Roman"/>
          <w:sz w:val="20"/>
        </w:rPr>
      </w:pPr>
      <w:r>
        <w:rPr>
          <w:rFonts w:ascii="Times New Roman" w:hAnsi="Times New Roman"/>
          <w:sz w:val="20"/>
        </w:rPr>
        <w:t>(l) </w:t>
      </w:r>
      <w:r>
        <w:rPr>
          <w:rFonts w:ascii="Times New Roman" w:hAnsi="Times New Roman"/>
          <w:sz w:val="20"/>
          <w:u w:val="single"/>
        </w:rPr>
        <w:t>Independent Accountants</w:t>
      </w:r>
      <w:r>
        <w:rPr>
          <w:rFonts w:ascii="Times New Roman" w:hAnsi="Times New Roman"/>
          <w:sz w:val="20"/>
        </w:rPr>
        <w:t xml:space="preserve">. Ernst &amp; Young Godkendt Revisionspartnerselskab, the Company’s former independent registered public accounting firm, who has expressed its opinion with respect to the financial statements (which term as used in this Agreement includes the related notes thereto) and supporting schedules filed with the Commission or incorporated by reference as a part of the Registration Statement and included in the Prospectus, is an independent registered public accounting firm as required by the Securities Act and the Exchange Act. Ernst &amp; Young LLP, the Company’s current independent registered public accounting firm, who is expected to express its opinion with respect to the Company’s financial statements for the current fiscal year, is an independent registered public account firm as required by the Securities Act and the Exchange Act. </w:t>
      </w:r>
    </w:p>
    <w:p>
      <w:pPr>
        <w:pStyle w:val="TextBody"/>
        <w:bidi w:val="0"/>
        <w:spacing w:before="120" w:after="0"/>
        <w:jc w:val="left"/>
        <w:rPr>
          <w:rFonts w:ascii="Times New Roman" w:hAnsi="Times New Roman"/>
          <w:sz w:val="20"/>
        </w:rPr>
      </w:pPr>
      <w:r>
        <w:rPr>
          <w:rFonts w:ascii="Times New Roman" w:hAnsi="Times New Roman"/>
          <w:sz w:val="20"/>
        </w:rPr>
        <w:t>(m) </w:t>
      </w:r>
      <w:r>
        <w:rPr>
          <w:rFonts w:ascii="Times New Roman" w:hAnsi="Times New Roman"/>
          <w:sz w:val="20"/>
          <w:u w:val="single"/>
        </w:rPr>
        <w:t>Preparation of the Financial Statements</w:t>
      </w:r>
      <w:r>
        <w:rPr>
          <w:rFonts w:ascii="Times New Roman" w:hAnsi="Times New Roman"/>
          <w:sz w:val="20"/>
        </w:rPr>
        <w:t xml:space="preserve">. The financial statements filed with the Commission as a part of or incorporated by reference in the Registration Statement and included in the Prospectus present fairly in all material respects the consolidated financial position of the Company and its Subsidiaries as of and at the dates indicated and the results of their operations and cash flows for the periods specified. The supporting schedules (if any) included in or incorporated in the Registration Statement present fairly in all material respects the information required to be stated therein. Such financial statements and supporting schedules (if any) have been prepared in conformity with generally accepted accounting principles as applied in the United States applied on a consistent basis throughout the periods covered thereby, except as may be expressly stated in the related notes thereto and in the case of unaudited interim financial statements which are subject to normal year-end adjustments and do not contain certain footnotes as permitted by the applicable rules of the Commission. No other financial statements or supporting schedules are required to be included in or incorporated in the Registration Statement. </w:t>
      </w:r>
    </w:p>
    <w:p>
      <w:pPr>
        <w:pStyle w:val="TextBody"/>
        <w:bidi w:val="0"/>
        <w:spacing w:before="120" w:after="0"/>
        <w:jc w:val="left"/>
        <w:rPr>
          <w:rFonts w:ascii="Times New Roman" w:hAnsi="Times New Roman"/>
          <w:sz w:val="20"/>
        </w:rPr>
      </w:pPr>
      <w:r>
        <w:rPr>
          <w:rFonts w:ascii="Times New Roman" w:hAnsi="Times New Roman"/>
          <w:sz w:val="20"/>
        </w:rPr>
        <w:t>(n) </w:t>
      </w:r>
      <w:r>
        <w:rPr>
          <w:rFonts w:ascii="Times New Roman" w:hAnsi="Times New Roman"/>
          <w:sz w:val="20"/>
          <w:u w:val="single"/>
        </w:rPr>
        <w:t>XBRL</w:t>
      </w:r>
      <w:r>
        <w:rPr>
          <w:rFonts w:ascii="Times New Roman" w:hAnsi="Times New Roman"/>
          <w:sz w:val="20"/>
        </w:rPr>
        <w:t xml:space="preserve">.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 in all material respects. </w:t>
      </w:r>
    </w:p>
    <w:p>
      <w:pPr>
        <w:pStyle w:val="TextBody"/>
        <w:bidi w:val="0"/>
        <w:spacing w:before="120" w:after="0"/>
        <w:jc w:val="left"/>
        <w:rPr>
          <w:rFonts w:ascii="Times New Roman" w:hAnsi="Times New Roman"/>
          <w:sz w:val="20"/>
        </w:rPr>
      </w:pPr>
      <w:r>
        <w:rPr>
          <w:rFonts w:ascii="Times New Roman" w:hAnsi="Times New Roman"/>
          <w:sz w:val="20"/>
        </w:rPr>
        <w:t>(o)</w:t>
      </w:r>
      <w:r>
        <w:rPr>
          <w:rFonts w:ascii="Times New Roman" w:hAnsi="Times New Roman"/>
          <w:sz w:val="20"/>
          <w:u w:val="single"/>
        </w:rPr>
        <w:t> Incorporation and Good Standing of the Company and its Subsidiaries</w:t>
      </w:r>
      <w:r>
        <w:rPr>
          <w:rFonts w:ascii="Times New Roman" w:hAnsi="Times New Roman"/>
          <w:sz w:val="20"/>
        </w:rPr>
        <w:t xml:space="preserve">. The Company has been duly incorporated and is validly existing as an exempted company in good standing under the laws of the jurisdiction of its incorporation and has corporate power and authority to own, lease and operate its properties and to conduct its business as described in the Prospectus and to enter into and perform its obligations under this Agreement and to consummate the transactions contemplated herein and therein. Each Subsidiary has been duly organized and is validly existing as a corporation, limited liability company or other permitted form of organization in good standing under the laws of the jurisdiction of its organization and has the requisite power and authority to own, lease and operate its properties and to conduct its business as described in the Prospectus, except where the failure to be in good standing or have such power or authority would not, individually or in the aggregate, result in a Material Adverse Change. Each of the Company and its Subsidiaries is duly qualified as a foreign corporation or foreign partnership to transact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business and is in good standing under the laws of the jurisdiction of its incorporation or formation and each other jurisdiction in which such qualification is required, whether by reason of the ownership or leasing of property or the conduct of business, except for such jurisdictions where the failure to so qualify or to be in good standing would not, individually or in the aggregate, result in a Material Adverse Change. Except as described in the Prospectus, all of the issued and outstanding equity interests of the Subsidiaries have been duly authorized and validly issued, are fully paid and nonassessable and are owned by the Company, directly or through the Subsidiaries, free and clear of any security interest, mortgage, pledge, lien, encumbrance or adverse claim. The Company does not own or control, directly or indirectly, any corporation, association or other entity other than the subsidiaries listed in Exhibit 21.1 to the Company’s Annual Report on Form 10-K for the most recently ended fiscal year and other than (i) Damora Therapeutics, LLC, (ii) those Subsidiaries not required to be listed on Exhibit 21.1 by Item 601 of Regulation S-K under the Exchange Act and (iii) those Subsidiaries formed since the last day of the most recently ended fiscal year. </w:t>
      </w:r>
    </w:p>
    <w:p>
      <w:pPr>
        <w:pStyle w:val="TextBody"/>
        <w:bidi w:val="0"/>
        <w:spacing w:before="120" w:after="0"/>
        <w:jc w:val="left"/>
        <w:rPr>
          <w:rFonts w:ascii="Times New Roman" w:hAnsi="Times New Roman"/>
          <w:sz w:val="20"/>
        </w:rPr>
      </w:pPr>
      <w:r>
        <w:rPr>
          <w:rFonts w:ascii="Times New Roman" w:hAnsi="Times New Roman"/>
          <w:sz w:val="20"/>
        </w:rPr>
        <w:t xml:space="preserve">(p) Share </w:t>
      </w:r>
      <w:r>
        <w:rPr>
          <w:rFonts w:ascii="Times New Roman" w:hAnsi="Times New Roman"/>
          <w:sz w:val="20"/>
          <w:u w:val="single"/>
        </w:rPr>
        <w:t>Capital Matters</w:t>
      </w:r>
      <w:r>
        <w:rPr>
          <w:rFonts w:ascii="Times New Roman" w:hAnsi="Times New Roman"/>
          <w:sz w:val="20"/>
        </w:rPr>
        <w:t xml:space="preserve">. The Ordinary Shares conform in all material respects to the description thereof contained in the Prospectus. All of the issued and outstanding Ordinary Shares have been duly authorized and validly issued, are fully paid and nonassessable and have been issued in compliance with applicable federal and state securities laws. None of the outstanding Ordinary Shares were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share capital of the Company or any of its Subsidiaries other than those accurately described in all material respects in the Prospectus. The description of the Company’s share option, share bonus and other share plans or arrangements, and the options or other rights granted thereunder, set forth in the Prospectus accurately and fairly presents in all material respects the information required to be shown with respect to such plans, arrangements, options and rights. </w:t>
      </w:r>
    </w:p>
    <w:p>
      <w:pPr>
        <w:pStyle w:val="TextBody"/>
        <w:bidi w:val="0"/>
        <w:spacing w:before="120" w:after="0"/>
        <w:jc w:val="left"/>
        <w:rPr>
          <w:rFonts w:ascii="Times New Roman" w:hAnsi="Times New Roman"/>
          <w:sz w:val="20"/>
        </w:rPr>
      </w:pPr>
      <w:r>
        <w:rPr>
          <w:rFonts w:ascii="Times New Roman" w:hAnsi="Times New Roman"/>
          <w:sz w:val="20"/>
        </w:rPr>
        <w:t>(q) </w:t>
      </w:r>
      <w:r>
        <w:rPr>
          <w:rFonts w:ascii="Times New Roman" w:hAnsi="Times New Roman"/>
          <w:sz w:val="20"/>
          <w:u w:val="single"/>
        </w:rPr>
        <w:t>Non-Contravention of Existing Instruments; No Further Authorizations or Approvals Required</w:t>
      </w:r>
      <w:r>
        <w:rPr>
          <w:rFonts w:ascii="Times New Roman" w:hAnsi="Times New Roman"/>
          <w:sz w:val="20"/>
        </w:rPr>
        <w:t>. Neither the Company nor any of its Subsidiaries is in violation of its Memorandum and Articles of Association or by-laws or is in default (or, with the giving of notice or lapse of time, would be in default) (“</w:t>
      </w:r>
      <w:r>
        <w:rPr>
          <w:rFonts w:ascii="Times New Roman" w:hAnsi="Times New Roman"/>
          <w:b/>
          <w:sz w:val="20"/>
          <w:u w:val="single"/>
        </w:rPr>
        <w:t>Default</w:t>
      </w:r>
      <w:r>
        <w:rPr>
          <w:rFonts w:ascii="Times New Roman" w:hAnsi="Times New Roman"/>
          <w:sz w:val="20"/>
        </w:rPr>
        <w:t>”) under any indenture, mortgage, loan or credit agreement, note, contract, franchise, lease or other instrument to which the Company or any of its Subsidiaries is a party or by which it or any of them may be bound, or to which any of the property or assets of the Company or any of its Subsidiaries is subject (each, an “</w:t>
      </w:r>
      <w:r>
        <w:rPr>
          <w:rFonts w:ascii="Times New Roman" w:hAnsi="Times New Roman"/>
          <w:b/>
          <w:sz w:val="20"/>
          <w:u w:val="single"/>
        </w:rPr>
        <w:t>Existing Instrument</w:t>
      </w:r>
      <w:r>
        <w:rPr>
          <w:rFonts w:ascii="Times New Roman" w:hAnsi="Times New Roman"/>
          <w:sz w:val="20"/>
        </w:rPr>
        <w:t xml:space="preserve">”), except for such Defaults as would not, individually or in the aggregate, reasonably be expected to result in a Material Adverse Change. The Company’s execution, delivery and performance of this Agreement and consummation of the transactions contemplated hereby and by the Prospectus (i) have been duly authorized by all necessary corporate action and will not result in any violation of the provisions of the Memorandum and Articles of Association or by-laws of the Company or any Subsidiary, (ii) will not conflict with or constitute a breach of, or Default under, or result in the creation or imposition of any lien, charge or encumbrance upon any property or assets of the Company or any of its Subsidiaries pursuant to, or require the consent of any other party to, any Existing Instrument, and (iii) will not result in any violation of any law, administrative regulation or administrative or court decree applicable to the Company or any Subsidiary, except in the case of clauses (ii) and (iii) above, as would not, individually or in the aggregate, reasonably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expected to result in a Material Adverse Change. No consent, approval, authorization or other order of, or registration or filing with, any court or other governmental or regulatory authority or agency, is required for the Company’s execution, delivery and performance of this Agreement and consummation of the transactions contemplated hereby and by the Prospectus, except such as have been obtained or made by the Company and are in full force and effect under the Securities Act, applicable state securities or blue sky laws and from the Financial Industry Regulatory Authority (“</w:t>
      </w:r>
      <w:r>
        <w:rPr>
          <w:rFonts w:ascii="Times New Roman" w:hAnsi="Times New Roman"/>
          <w:b/>
          <w:sz w:val="20"/>
          <w:u w:val="single"/>
        </w:rPr>
        <w:t>FINRA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(r) </w:t>
      </w:r>
      <w:r>
        <w:rPr>
          <w:rFonts w:ascii="Times New Roman" w:hAnsi="Times New Roman"/>
          <w:sz w:val="20"/>
          <w:u w:val="single"/>
        </w:rPr>
        <w:t>No Material Actions or Proceedings</w:t>
      </w:r>
      <w:r>
        <w:rPr>
          <w:rFonts w:ascii="Times New Roman" w:hAnsi="Times New Roman"/>
          <w:sz w:val="20"/>
        </w:rPr>
        <w:t xml:space="preserve">. Except as disclosed in the Prospectus, there are no legal or governmental actions, suits or proceedings pending or, to the Company’s knowledge, threatened (i) against or affecting the Company or any of its Subsidiaries, (ii) which has as the subject thereof any officer or director of, or property owned or leased by, the Company or any of its Subsidiaries or (iii) relating to environmental or discrimination matters, where in any such case (A) there is a reasonable possibility that such action, suit or proceeding might be determined adversely to the Company or such Subsidiary and (B) any such action, suit or proceeding, if so determined adversely, would reasonably be expected to result in a Material Adverse Change or adversely affect the consummation of the transactions contemplated by this Agreement. No material labor dispute with the employees of the Company or any of its Subsidiaries exists or, to the Company’s knowledge, is threatened or imminent. </w:t>
      </w:r>
    </w:p>
    <w:p>
      <w:pPr>
        <w:pStyle w:val="TextBody"/>
        <w:bidi w:val="0"/>
        <w:spacing w:before="120" w:after="0"/>
        <w:jc w:val="left"/>
        <w:rPr>
          <w:rFonts w:ascii="Times New Roman" w:hAnsi="Times New Roman"/>
          <w:sz w:val="20"/>
        </w:rPr>
      </w:pPr>
      <w:r>
        <w:rPr>
          <w:rFonts w:ascii="Times New Roman" w:hAnsi="Times New Roman"/>
          <w:sz w:val="20"/>
        </w:rPr>
        <w:t>(s) </w:t>
      </w:r>
      <w:r>
        <w:rPr>
          <w:rFonts w:ascii="Times New Roman" w:hAnsi="Times New Roman"/>
          <w:sz w:val="20"/>
          <w:u w:val="single"/>
        </w:rPr>
        <w:t>All Necessary Permits, etc</w:t>
      </w:r>
      <w:r>
        <w:rPr>
          <w:rFonts w:ascii="Times New Roman" w:hAnsi="Times New Roman"/>
          <w:sz w:val="20"/>
        </w:rPr>
        <w:t xml:space="preserve">. The Company and each Subsidiary possess such valid and current certificates, authorizations or permits issued by the appropriate state, federal or foreign regulatory agencies or bodies necessary to conduct their respective businesses, other than those the failure to possess or own would not reasonably be expected to result in a Material Adverse Change, and neither the Company nor any Subsidiary has received any notice of proceedings relating to the revocation or modification of, or non-compliance with, any such certificate, authorization or permit which, singly or in the aggregate, if the subject of an unfavorable decision, ruling or finding, would reasonably be expected to result in a Material Adverse Change. </w:t>
      </w:r>
    </w:p>
    <w:p>
      <w:pPr>
        <w:pStyle w:val="TextBody"/>
        <w:bidi w:val="0"/>
        <w:spacing w:before="120" w:after="0"/>
        <w:jc w:val="left"/>
        <w:rPr>
          <w:rFonts w:ascii="Times New Roman" w:hAnsi="Times New Roman"/>
          <w:sz w:val="20"/>
        </w:rPr>
      </w:pPr>
      <w:r>
        <w:rPr>
          <w:rFonts w:ascii="Times New Roman" w:hAnsi="Times New Roman"/>
          <w:sz w:val="20"/>
        </w:rPr>
        <w:t>(t) </w:t>
      </w:r>
      <w:r>
        <w:rPr>
          <w:rFonts w:ascii="Times New Roman" w:hAnsi="Times New Roman"/>
          <w:sz w:val="20"/>
          <w:u w:val="single"/>
        </w:rPr>
        <w:t>Tax Law Compliance</w:t>
      </w:r>
      <w:r>
        <w:rPr>
          <w:rFonts w:ascii="Times New Roman" w:hAnsi="Times New Roman"/>
          <w:sz w:val="20"/>
        </w:rPr>
        <w:t xml:space="preserve">. The Company and its consolidated Subsidiaries have filed all necessary federal, state and foreign income, property and franchise tax returns or have properly requested extensions thereof, other than those returns where the failure to file would not reasonably be expected to result in a Material Adverse Change, and have paid all taxes required to be paid by any of them and, if due and payable, any related or similar assessment, fine or penalty levied against any of them except as may be being contested in good faith and by appropriate proceedings or such amounts where the failure to pay would not reasonably be expected to result in a Material Adverse Change. The Company has made adequate charges, accruals and reserves, in conformity with U.S. GAAP, in the applicable financial statements referred to in </w:t>
      </w:r>
      <w:r>
        <w:rPr>
          <w:rFonts w:ascii="Times New Roman" w:hAnsi="Times New Roman"/>
          <w:sz w:val="20"/>
          <w:u w:val="single"/>
        </w:rPr>
        <w:t>Section 6(l)</w:t>
      </w:r>
      <w:r>
        <w:rPr>
          <w:rFonts w:ascii="Times New Roman" w:hAnsi="Times New Roman"/>
          <w:sz w:val="20"/>
        </w:rPr>
        <w:t xml:space="preserve"> above in respect of all material federal, state and foreign income, property and franchise taxes for all periods as to which the tax liability of the Company or any of its consolidated Subsidiaries has not been finally determined. </w:t>
      </w:r>
    </w:p>
    <w:p>
      <w:pPr>
        <w:pStyle w:val="TextBody"/>
        <w:bidi w:val="0"/>
        <w:spacing w:before="120" w:after="0"/>
        <w:jc w:val="left"/>
        <w:rPr>
          <w:rFonts w:ascii="Times New Roman" w:hAnsi="Times New Roman"/>
          <w:sz w:val="20"/>
        </w:rPr>
      </w:pPr>
      <w:r>
        <w:rPr>
          <w:rFonts w:ascii="Times New Roman" w:hAnsi="Times New Roman"/>
          <w:sz w:val="20"/>
        </w:rPr>
        <w:t>(u) </w:t>
      </w:r>
      <w:r>
        <w:rPr>
          <w:rFonts w:ascii="Times New Roman" w:hAnsi="Times New Roman"/>
          <w:sz w:val="20"/>
          <w:u w:val="single"/>
        </w:rPr>
        <w:t>Company Not an “Investment Company</w:t>
      </w:r>
      <w:r>
        <w:rPr>
          <w:rFonts w:ascii="Times New Roman" w:hAnsi="Times New Roman"/>
          <w:sz w:val="20"/>
        </w:rPr>
        <w:t>”. The Company has been advised of the rules and requirements under the Investment Company Act of 1940, as amended (the “</w:t>
      </w:r>
      <w:r>
        <w:rPr>
          <w:rFonts w:ascii="Times New Roman" w:hAnsi="Times New Roman"/>
          <w:b/>
          <w:sz w:val="20"/>
          <w:u w:val="single"/>
        </w:rPr>
        <w:t>Investment Company Act</w:t>
      </w:r>
      <w:r>
        <w:rPr>
          <w:rFonts w:ascii="Times New Roman" w:hAnsi="Times New Roman"/>
          <w:sz w:val="20"/>
        </w:rPr>
        <w:t xml:space="preserve">”). The Company is not, and after receipt of payment for the Ordinary Shares will not be, an “investment company” within the meaning of Investment Company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(v) </w:t>
      </w:r>
      <w:r>
        <w:rPr>
          <w:rFonts w:ascii="Times New Roman" w:hAnsi="Times New Roman"/>
          <w:sz w:val="20"/>
          <w:u w:val="single"/>
        </w:rPr>
        <w:t>Insurance</w:t>
      </w:r>
      <w:r>
        <w:rPr>
          <w:rFonts w:ascii="Times New Roman" w:hAnsi="Times New Roman"/>
          <w:sz w:val="20"/>
        </w:rPr>
        <w:t xml:space="preserve">. Except as otherwise described in the Prospectus, each of the Company and its Subsidiaries are insured by insurers of recognized financial responsibility with policies in such amounts and with such deductibles and covering such risks as are generally deemed adequate and customary for the business for which it is engaged including, but not limited to, policies covering real and personal property owned or leased by the Company and its Subsidiaries against theft, damage, destruction, acts of vandalism and earthquakes. The Company has no reason to believe that it or any Subsidiary will not be able (i) to renew its existing insurance coverage as and when such policies expire or (ii) to obtain comparable coverage from similar institutions as may be necessary or appropriate to conduct its business as now conducted and at a cost that would not reasonably be expected to result in a Material Adverse Change. </w:t>
      </w:r>
    </w:p>
    <w:p>
      <w:pPr>
        <w:pStyle w:val="TextBody"/>
        <w:bidi w:val="0"/>
        <w:spacing w:before="120" w:after="0"/>
        <w:jc w:val="left"/>
        <w:rPr>
          <w:rFonts w:ascii="Times New Roman" w:hAnsi="Times New Roman"/>
          <w:sz w:val="20"/>
        </w:rPr>
      </w:pPr>
      <w:r>
        <w:rPr>
          <w:rFonts w:ascii="Times New Roman" w:hAnsi="Times New Roman"/>
          <w:sz w:val="20"/>
        </w:rPr>
        <w:t>(w) </w:t>
      </w:r>
      <w:r>
        <w:rPr>
          <w:rFonts w:ascii="Times New Roman" w:hAnsi="Times New Roman"/>
          <w:sz w:val="20"/>
          <w:u w:val="single"/>
        </w:rPr>
        <w:t>No Price Stabilization or Manipulation</w:t>
      </w:r>
      <w:r>
        <w:rPr>
          <w:rFonts w:ascii="Times New Roman" w:hAnsi="Times New Roman"/>
          <w:sz w:val="20"/>
        </w:rPr>
        <w:t xml:space="preserve">. The Company has not taken and will not take, directly or indirectly, any action designed to or that might be reasonably expected to cause or result in stabilization or manipulation of the price of any security of the Company to facilitate the sale or resale of the Placement Shares. </w:t>
      </w:r>
    </w:p>
    <w:p>
      <w:pPr>
        <w:pStyle w:val="TextBody"/>
        <w:bidi w:val="0"/>
        <w:spacing w:before="120" w:after="0"/>
        <w:jc w:val="left"/>
        <w:rPr>
          <w:rFonts w:ascii="Times New Roman" w:hAnsi="Times New Roman"/>
          <w:sz w:val="20"/>
        </w:rPr>
      </w:pPr>
      <w:r>
        <w:rPr>
          <w:rFonts w:ascii="Times New Roman" w:hAnsi="Times New Roman"/>
          <w:sz w:val="20"/>
        </w:rPr>
        <w:t>(x) </w:t>
      </w:r>
      <w:r>
        <w:rPr>
          <w:rFonts w:ascii="Times New Roman" w:hAnsi="Times New Roman"/>
          <w:sz w:val="20"/>
          <w:u w:val="single"/>
        </w:rPr>
        <w:t>Related Party Transactions</w:t>
      </w:r>
      <w:r>
        <w:rPr>
          <w:rFonts w:ascii="Times New Roman" w:hAnsi="Times New Roman"/>
          <w:sz w:val="20"/>
        </w:rPr>
        <w:t xml:space="preserve">. There are no business relationships or related-party transactions involving the Company or any Subsidiary or any other person required to be described in the Prospectus which have not been described as required by applicable laws. </w:t>
      </w:r>
    </w:p>
    <w:p>
      <w:pPr>
        <w:pStyle w:val="TextBody"/>
        <w:bidi w:val="0"/>
        <w:spacing w:before="120" w:after="0"/>
        <w:jc w:val="left"/>
        <w:rPr>
          <w:rFonts w:ascii="Times New Roman" w:hAnsi="Times New Roman"/>
          <w:sz w:val="20"/>
        </w:rPr>
      </w:pPr>
      <w:r>
        <w:rPr>
          <w:rFonts w:ascii="Times New Roman" w:hAnsi="Times New Roman"/>
          <w:sz w:val="20"/>
        </w:rPr>
        <w:t>(y) </w:t>
      </w:r>
      <w:r>
        <w:rPr>
          <w:rFonts w:ascii="Times New Roman" w:hAnsi="Times New Roman"/>
          <w:sz w:val="20"/>
          <w:u w:val="single"/>
        </w:rPr>
        <w:t>Exchange Act Compliance</w:t>
      </w:r>
      <w:r>
        <w:rPr>
          <w:rFonts w:ascii="Times New Roman" w:hAnsi="Times New Roman"/>
          <w:sz w:val="20"/>
        </w:rPr>
        <w:t xml:space="preserve">. The documents incorporated or deemed to be incorporated by reference in the Prospectus, at the time they were or hereafter are filed with the Commission, complied and will comply in all material respects with the requirements of the Exchange Act, and, when read together with the other information in the Prospectus, at the Settlement Dates, will not contain an untrue statement of a material fact or omit to state a material fact required to be stated therein or necessary to make the fact required to be stated therein or necessary to make the statements therein, in the light of the circumstances under which they were made, not misleading. </w:t>
      </w:r>
    </w:p>
    <w:p>
      <w:pPr>
        <w:pStyle w:val="TextBody"/>
        <w:bidi w:val="0"/>
        <w:spacing w:before="120" w:after="0"/>
        <w:jc w:val="left"/>
        <w:rPr>
          <w:rFonts w:ascii="Times New Roman" w:hAnsi="Times New Roman"/>
          <w:sz w:val="20"/>
        </w:rPr>
      </w:pPr>
      <w:r>
        <w:rPr>
          <w:rFonts w:ascii="Times New Roman" w:hAnsi="Times New Roman"/>
          <w:sz w:val="20"/>
        </w:rPr>
        <w:t>(z) </w:t>
      </w:r>
      <w:r>
        <w:rPr>
          <w:rFonts w:ascii="Times New Roman" w:hAnsi="Times New Roman"/>
          <w:sz w:val="20"/>
          <w:u w:val="single"/>
        </w:rPr>
        <w:t>No Unlawful Contributions or Other Payments</w:t>
      </w:r>
      <w:r>
        <w:rPr>
          <w:rFonts w:ascii="Times New Roman" w:hAnsi="Times New Roman"/>
          <w:sz w:val="20"/>
        </w:rPr>
        <w:t xml:space="preserve">. Neither the Company nor any of its Subsidiaries nor, to the Company’s knowledge, any director, officer, employee, agent, affiliate or other person acting on behalf of the Company or any Subsidiary has (i) used any corporate funds for any unlawful contribution, gift, entertainment or other unlawful expense relating to political activity; (ii) made any direct or indirect unlawful payment to any foreign or domestic government officials or employees, political parties or campaigns, political party officials, or candidates for political office from corporate funds; (iii) violated or is in violation of any provision of the U.S. Foreign Corrupt Practices Act of 1977, as amended, or any applicable anti-corruption laws, rules, or regulations of any other jurisdiction in which the Company or any Subsidiary conducts business; or (iv) made any other unlawful bribe, rebate, payoff, influence payment, kickback or other unlawful payment to any person. </w:t>
      </w:r>
    </w:p>
    <w:p>
      <w:pPr>
        <w:pStyle w:val="TextBody"/>
        <w:bidi w:val="0"/>
        <w:spacing w:before="120" w:after="0"/>
        <w:jc w:val="left"/>
        <w:rPr>
          <w:rFonts w:ascii="Times New Roman" w:hAnsi="Times New Roman"/>
          <w:sz w:val="20"/>
        </w:rPr>
      </w:pPr>
      <w:r>
        <w:rPr>
          <w:rFonts w:ascii="Times New Roman" w:hAnsi="Times New Roman"/>
          <w:sz w:val="20"/>
        </w:rPr>
        <w:t>(aa) </w:t>
      </w:r>
      <w:r>
        <w:rPr>
          <w:rFonts w:ascii="Times New Roman" w:hAnsi="Times New Roman"/>
          <w:sz w:val="20"/>
          <w:u w:val="single"/>
        </w:rPr>
        <w:t>Compliance with Money Laundering Laws</w:t>
      </w:r>
      <w:r>
        <w:rPr>
          <w:rFonts w:ascii="Times New Roman" w:hAnsi="Times New Roman"/>
          <w:sz w:val="20"/>
        </w:rPr>
        <w:t xml:space="preserve">. The operations of the Company and its Subsidiaries are and have been conducted at all times in compliance with all applicable financial recordkeeping and reporting requirements, including those of the U.S. Bank Secrecy Act, as amended by Title III of the Uniting and Strengthening America by Providing Appropriate Tools Required to Intercept and Obstruct Terrorism Act of 2001 (USA PATRIOT Act), and the applicable anti-money laundering statutes of jurisdictions where the Company and its Subsidiaries conduct business, the rules and regulations thereunder and any related or similar rules, regulations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or guidelines, issued, administered or enforced by any governmental agency (collectively, the “</w:t>
      </w:r>
      <w:r>
        <w:rPr>
          <w:rFonts w:ascii="Times New Roman" w:hAnsi="Times New Roman"/>
          <w:b/>
          <w:sz w:val="20"/>
          <w:u w:val="single"/>
        </w:rPr>
        <w:t>Anti-Money Laundering Laws</w:t>
      </w:r>
      <w:r>
        <w:rPr>
          <w:rFonts w:ascii="Times New Roman" w:hAnsi="Times New Roman"/>
          <w:sz w:val="20"/>
        </w:rPr>
        <w:t xml:space="preserve">”), and no action, suit or proceeding by or before any court or governmental agency, authority, body or any arbitrator involving the Company or any of its Subsidiaries with respect to Anti-Money Laundering Laws is pending, or to the knowledge of the Company, threatened. </w:t>
      </w:r>
    </w:p>
    <w:p>
      <w:pPr>
        <w:pStyle w:val="TextBody"/>
        <w:bidi w:val="0"/>
        <w:spacing w:before="120" w:after="0"/>
        <w:jc w:val="left"/>
        <w:rPr>
          <w:rFonts w:ascii="Times New Roman" w:hAnsi="Times New Roman"/>
          <w:sz w:val="20"/>
        </w:rPr>
      </w:pPr>
      <w:r>
        <w:rPr>
          <w:rFonts w:ascii="Times New Roman" w:hAnsi="Times New Roman"/>
          <w:sz w:val="20"/>
        </w:rPr>
        <w:t>(bb) </w:t>
      </w:r>
      <w:r>
        <w:rPr>
          <w:rFonts w:ascii="Times New Roman" w:hAnsi="Times New Roman"/>
          <w:sz w:val="20"/>
          <w:u w:val="single"/>
        </w:rPr>
        <w:t>Compliance with OFAC</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Neither the Company nor any of its Subsidiaries, nor any director, officer or employee thereof, nor to the Company’s knowledge, any agent, affiliate, representative, or other person acting on behalf of the Company or any of its Subsidiaries, is an individual or entity (“</w:t>
            </w:r>
            <w:r>
              <w:rPr>
                <w:rFonts w:ascii="Times New Roman" w:hAnsi="Times New Roman"/>
                <w:b/>
                <w:sz w:val="20"/>
                <w:u w:val="single"/>
              </w:rPr>
              <w:t>Person</w:t>
            </w:r>
            <w:r>
              <w:rPr>
                <w:rFonts w:ascii="Times New Roman" w:hAnsi="Times New Roman"/>
                <w:sz w:val="20"/>
              </w:rPr>
              <w:t>”) that is, or is owned or controlled by a Person that is: (i) the subject of any economic, financial or trade sanctions administered or enforced by the U.S. Department of Treasury’s Office of Foreign Assets Control (“</w:t>
            </w:r>
            <w:r>
              <w:rPr>
                <w:rFonts w:ascii="Times New Roman" w:hAnsi="Times New Roman"/>
                <w:b/>
                <w:sz w:val="20"/>
                <w:u w:val="single"/>
              </w:rPr>
              <w:t>OFAC</w:t>
            </w:r>
            <w:r>
              <w:rPr>
                <w:rFonts w:ascii="Times New Roman" w:hAnsi="Times New Roman"/>
                <w:sz w:val="20"/>
              </w:rPr>
              <w:t>”), the United Nations Security Council, the European Union (“</w:t>
            </w:r>
            <w:r>
              <w:rPr>
                <w:rFonts w:ascii="Times New Roman" w:hAnsi="Times New Roman"/>
                <w:b/>
                <w:sz w:val="20"/>
                <w:u w:val="single"/>
              </w:rPr>
              <w:t>EU</w:t>
            </w:r>
            <w:r>
              <w:rPr>
                <w:rFonts w:ascii="Times New Roman" w:hAnsi="Times New Roman"/>
                <w:sz w:val="20"/>
              </w:rPr>
              <w:t>”), His Majesty’s Treasury, the Swiss Secretariat of Economic Affairs, or other relevant sanctions authority (collectively, “</w:t>
            </w:r>
            <w:r>
              <w:rPr>
                <w:rFonts w:ascii="Times New Roman" w:hAnsi="Times New Roman"/>
                <w:b/>
                <w:sz w:val="20"/>
                <w:u w:val="single"/>
              </w:rPr>
              <w:t>Sanctions</w:t>
            </w:r>
            <w:r>
              <w:rPr>
                <w:rFonts w:ascii="Times New Roman" w:hAnsi="Times New Roman"/>
                <w:sz w:val="20"/>
              </w:rPr>
              <w:t xml:space="preserve">”), nor (ii) located, organized, or resident in a country or territory that is the subject of a U.S. government embargo (including, without limitation, the so-called Donetsk People’s Republic, the so-called Luhansk People’s Republic, the Crimea Region of Ukraine, the non-government controlled areas of the Zaporizhzhia and Kherson Regions, Cuba, Iran, North Korea and Syria).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will not, directly or indirectly, use the Net Proceeds, or lend, contribute or otherwise make available such Net Proceeds to any Subsidiary, joint venture partner or other Person: (i) to fund or facilitate any activities or business of or with any Person that, at the time of such funding or facilitation, is the subject of Sanctions, or in any country or territory that, at the time of such funding or facilitation, is the subject of a U.S. government embargo; or (ii) in any other manner that will result in a violation of Sanctions by any Person (including TD Cowen).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Since April 24, 2019, the Company and its Subsidiaries have not knowingly engaged in, are not now knowingly engaged in, and will not engage in, any direct or indirect dealings or transactions with any Person that at the time of the dealing or transaction is or was the subject of Sanctions or any country or territory that, at the time of the dealing or transaction is or was the subject of a U.S. government embargo. </w:t>
            </w:r>
          </w:p>
        </w:tc>
      </w:tr>
    </w:tbl>
    <w:p>
      <w:pPr>
        <w:pStyle w:val="TextBody"/>
        <w:bidi w:val="0"/>
        <w:spacing w:before="120" w:after="0"/>
        <w:jc w:val="left"/>
        <w:rPr>
          <w:rFonts w:ascii="Times New Roman" w:hAnsi="Times New Roman"/>
          <w:sz w:val="20"/>
        </w:rPr>
      </w:pPr>
      <w:r>
        <w:rPr>
          <w:rFonts w:ascii="Times New Roman" w:hAnsi="Times New Roman"/>
          <w:sz w:val="20"/>
        </w:rPr>
        <w:t>(cc) </w:t>
      </w:r>
      <w:r>
        <w:rPr>
          <w:rFonts w:ascii="Times New Roman" w:hAnsi="Times New Roman"/>
          <w:sz w:val="20"/>
          <w:u w:val="single"/>
        </w:rPr>
        <w:t>Company’s Accounting System</w:t>
      </w:r>
      <w:r>
        <w:rPr>
          <w:rFonts w:ascii="Times New Roman" w:hAnsi="Times New Roman"/>
          <w:sz w:val="20"/>
        </w:rPr>
        <w:t>. The Company maintains a system of “internal control over financial reporting” (as such term is defined in Rule 13a-15(f) of the General Rules and Regulations under the Exchange Act (the “</w:t>
      </w:r>
      <w:r>
        <w:rPr>
          <w:rFonts w:ascii="Times New Roman" w:hAnsi="Times New Roman"/>
          <w:b/>
          <w:sz w:val="20"/>
          <w:u w:val="single"/>
        </w:rPr>
        <w:t>Exchange Act Rules</w:t>
      </w:r>
      <w:r>
        <w:rPr>
          <w:rFonts w:ascii="Times New Roman" w:hAnsi="Times New Roman"/>
          <w:sz w:val="20"/>
        </w:rPr>
        <w:t xml:space="preserve">”)) that complies with the requirements of the Exchange Act and has been designed by their respective principal executive and principal financial officers, or under their supervision, to provide reasonable assurances that (i) transactions are executed in accordance with management’s general or specific authorizations; (ii) transactions are recorded as necessary to permit preparation of financial statements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conformity with U.S.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 The Company’s internal control over financial reporting is effective. Except as described in the Prospectus, since the end of the Company’s most recent audited fiscal year, there has been (A) no material weakness in the Company’s internal control over financial reporting (whether or not remediated) and (B) no change in the Company’s internal control over financial reporting that has materially affected, or is reasonably likely to materially affect, the Company’s internal control over financial reporting. </w:t>
      </w:r>
    </w:p>
    <w:p>
      <w:pPr>
        <w:pStyle w:val="TextBody"/>
        <w:bidi w:val="0"/>
        <w:spacing w:before="120" w:after="0"/>
        <w:jc w:val="left"/>
        <w:rPr>
          <w:rFonts w:ascii="Times New Roman" w:hAnsi="Times New Roman"/>
          <w:sz w:val="20"/>
        </w:rPr>
      </w:pPr>
      <w:r>
        <w:rPr>
          <w:rFonts w:ascii="Times New Roman" w:hAnsi="Times New Roman"/>
          <w:sz w:val="20"/>
        </w:rPr>
        <w:t>(dd) </w:t>
      </w:r>
      <w:r>
        <w:rPr>
          <w:rFonts w:ascii="Times New Roman" w:hAnsi="Times New Roman"/>
          <w:sz w:val="20"/>
          <w:u w:val="single"/>
        </w:rPr>
        <w:t>Disclosure Controls</w:t>
      </w:r>
      <w:r>
        <w:rPr>
          <w:rFonts w:ascii="Times New Roman" w:hAnsi="Times New Roman"/>
          <w:sz w:val="20"/>
        </w:rPr>
        <w:t xml:space="preserve">. The Company maintains disclosure controls and procedures (as such is defined in Rule 13a-15(e) of the Exchange Act Rules) that comply with the requirements of the Exchange Act; such disclosure controls and procedures have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disclosures. The Company has conducted evaluations of the effectiveness of its disclosure controls and procedures as required by Rule 13a-15 of the Exchange Act. </w:t>
      </w:r>
    </w:p>
    <w:p>
      <w:pPr>
        <w:pStyle w:val="TextBody"/>
        <w:bidi w:val="0"/>
        <w:spacing w:before="120" w:after="0"/>
        <w:jc w:val="left"/>
        <w:rPr>
          <w:rFonts w:ascii="Times New Roman" w:hAnsi="Times New Roman"/>
          <w:sz w:val="20"/>
        </w:rPr>
      </w:pPr>
      <w:r>
        <w:rPr>
          <w:rFonts w:ascii="Times New Roman" w:hAnsi="Times New Roman"/>
          <w:sz w:val="20"/>
        </w:rPr>
        <w:t>(ee) </w:t>
      </w:r>
      <w:r>
        <w:rPr>
          <w:rFonts w:ascii="Times New Roman" w:hAnsi="Times New Roman"/>
          <w:sz w:val="20"/>
          <w:u w:val="single"/>
        </w:rPr>
        <w:t>Compliance with Environmental Laws</w:t>
      </w:r>
      <w:r>
        <w:rPr>
          <w:rFonts w:ascii="Times New Roman" w:hAnsi="Times New Roman"/>
          <w:sz w:val="20"/>
        </w:rPr>
        <w:t>. Except as otherwise described in the Prospectus, and except as would not, individually or in the aggregate, reasonably be expected to result in a Material Adverse Change (i) neither the Company nor any of its Subsidiaries is in violation of any federal, state, local or foreign law or regulation relating to pollution or protection of human health or the environment (including, without limitation, ambient air, surface water, groundwater, land surface or subsurface strata) or wildlife, including without limitation, laws and regulations relating to emissions, discharges, releases or threatened releases of chemicals, pollutants, contaminants, wastes, toxic substances, hazardous substances, petroleum and petroleum products (collectively, “</w:t>
      </w:r>
      <w:r>
        <w:rPr>
          <w:rFonts w:ascii="Times New Roman" w:hAnsi="Times New Roman"/>
          <w:b/>
          <w:sz w:val="20"/>
          <w:u w:val="single"/>
        </w:rPr>
        <w:t>Materials of Environmental Concern</w:t>
      </w:r>
      <w:r>
        <w:rPr>
          <w:rFonts w:ascii="Times New Roman" w:hAnsi="Times New Roman"/>
          <w:sz w:val="20"/>
        </w:rPr>
        <w:t>”), or otherwise relating to the manufacture, processing, distribution, use, treatment, storage, disposal, transport or handling of Materials of Environmental Concern (collectively, “</w:t>
      </w:r>
      <w:r>
        <w:rPr>
          <w:rFonts w:ascii="Times New Roman" w:hAnsi="Times New Roman"/>
          <w:b/>
          <w:sz w:val="20"/>
          <w:u w:val="single"/>
        </w:rPr>
        <w:t>Environmental Laws</w:t>
      </w:r>
      <w:r>
        <w:rPr>
          <w:rFonts w:ascii="Times New Roman" w:hAnsi="Times New Roman"/>
          <w:sz w:val="20"/>
        </w:rPr>
        <w:t>”), which violation includes, but is not limited to, noncompliance with any permits or other governmental authorizations required for the operation of the business of the Company or its Subsidiaries under applicable Environmental Laws, or noncompliance with the terms and conditions thereof, nor has the Company or any of its Subsidiaries received any written communication, whether from a governmental authority, citizens group, employee or otherwise, that alleges that the Company or any of its Subsidiaries is in violation of any Environmental Law; (ii) there is no claim, action or cause of action filed with a court or governmental authority, no investigation with respect to which the Company has received written notice, and no written notice by any person or entity alleging potential liability for investigatory costs, cleanup costs, governmental responses costs, natural resources damages, property damages, personal injuries, attorneys’ fees or penalties arising out of, based on or resulting from the presence, or release into the environment, of any Material of Environmental Concern at any location owned, leased or operated by the Company or any of its Subsidiaries, now or in the past (collectively, “</w:t>
      </w:r>
      <w:r>
        <w:rPr>
          <w:rFonts w:ascii="Times New Roman" w:hAnsi="Times New Roman"/>
          <w:b/>
          <w:sz w:val="20"/>
          <w:u w:val="single"/>
        </w:rPr>
        <w:t>Environmental Claims</w:t>
      </w:r>
      <w:r>
        <w:rPr>
          <w:rFonts w:ascii="Times New Roman" w:hAnsi="Times New Roman"/>
          <w:sz w:val="20"/>
        </w:rPr>
        <w:t xml:space="preserve">”), pending or, to the Company’s knowledge, threatened against the Company or any of its Subsidiaries or any person or entity whose liability for any Environmental Claim the Company or any of its Subsidiaries has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retained or assumed either contractually or by operation of law; and (iii) to the Company’s knowledge, there are no past or present actions, activities, circumstances, conditions, events or incidents, including, without limitation, the release, emission, discharge, presence or disposal of any Material of Environmental Concern, that reasonably could result in a violation of any Environmental Law or form the basis of a potential Environmental Claim against the Company or any of its Subsidiaries or against any person or entity whose liability for any Environmental Claim the Company or any of its Subsidiaries has retained or assumed either contractually or by operation of law. </w:t>
      </w:r>
    </w:p>
    <w:p>
      <w:pPr>
        <w:pStyle w:val="TextBody"/>
        <w:bidi w:val="0"/>
        <w:spacing w:before="120" w:after="0"/>
        <w:jc w:val="left"/>
        <w:rPr>
          <w:rFonts w:ascii="Times New Roman" w:hAnsi="Times New Roman"/>
          <w:sz w:val="20"/>
        </w:rPr>
      </w:pPr>
      <w:r>
        <w:rPr>
          <w:rFonts w:ascii="Times New Roman" w:hAnsi="Times New Roman"/>
          <w:sz w:val="20"/>
        </w:rPr>
        <w:t>(ff) </w:t>
      </w:r>
      <w:r>
        <w:rPr>
          <w:rFonts w:ascii="Times New Roman" w:hAnsi="Times New Roman"/>
          <w:sz w:val="20"/>
          <w:u w:val="single"/>
        </w:rPr>
        <w:t>Intellectual Property</w:t>
      </w:r>
      <w:r>
        <w:rPr>
          <w:rFonts w:ascii="Times New Roman" w:hAnsi="Times New Roman"/>
          <w:sz w:val="20"/>
        </w:rPr>
        <w:t>. The Company and its Subsidiaries own, possess, have valid license rights or can acquire on reasonable terms, adequate rights to use all (i) patents, patent applications, trademarks, trademark registrations, service marks, service mark registrations, Internet domain name registrations, copyrights, copyright registrations, licenses, trade secret rights (“</w:t>
      </w:r>
      <w:r>
        <w:rPr>
          <w:rFonts w:ascii="Times New Roman" w:hAnsi="Times New Roman"/>
          <w:b/>
          <w:sz w:val="20"/>
          <w:u w:val="single"/>
        </w:rPr>
        <w:t>Intellectual Property Rights</w:t>
      </w:r>
      <w:r>
        <w:rPr>
          <w:rFonts w:ascii="Times New Roman" w:hAnsi="Times New Roman"/>
          <w:sz w:val="20"/>
        </w:rPr>
        <w:t>”), and (ii) inventions, software, works of authorships, trademarks, service marks, trade names, databases, formulae, know how, Internet domain names and other intellectual property (including trade secrets and other unpatented and/or unpatentable proprietary confidential information, systems, or procedures) (collectively, “</w:t>
      </w:r>
      <w:r>
        <w:rPr>
          <w:rFonts w:ascii="Times New Roman" w:hAnsi="Times New Roman"/>
          <w:b/>
          <w:sz w:val="20"/>
          <w:u w:val="single"/>
        </w:rPr>
        <w:t>Intellectual Property Assets</w:t>
      </w:r>
      <w:r>
        <w:rPr>
          <w:rFonts w:ascii="Times New Roman" w:hAnsi="Times New Roman"/>
          <w:sz w:val="20"/>
        </w:rPr>
        <w:t xml:space="preserve">”), necessary to conduct their respective businesses as currently conducted, and as proposed to be conducted and described in the Prospectus. The Company and its Subsidiaries have not received any opinion from their legal counsel concluding that any activities of their respective businesses infringe, misappropriate, or otherwise violate, valid and enforceable Intellectual Property Rights of any other person in any material respects, and have not received written notice of any challenge, which is to their knowledge still pending, by any other person to the rights of the Company and its Subsidiaries with respect to any Intellectual Property Rights or Intellectual Property Assets owned or used by the Company or its Subsidiaries. To the knowledge of the Company, the Company and its Subsidiaries’ respective businesses as now conducted do not give rise to any infringement of, any misappropriation of, or other violation of, any valid and enforceable Intellectual Property Rights of any other person in any material respect. To the knowledge of the Company, all licenses for the use of the Intellectual Property Rights described in the Prospectus are valid, binding upon, and enforceable by or against the parties thereto in accordance to its terms in all material respects. The Company has complied in all material respects with, and is not in breach of, any intellectual property license and has not received any written notice of an asserted or threatened claim of breach of any intellectual property license, and the Company has no knowledge of any breach or anticipated breach by any other person to any intellectual property license. Except as described in the Prospectus and as would not reasonably be expected to result in a Material Adverse Change, no written claim has been made against the Company alleging the infringement by the Company of any patent, trademark, service mark, trade name, copyright, trade secret, license in or other intellectual property right or franchise right of any person. The Company has taken all reasonable steps to protect, maintain and safeguard its Intellectual Property Rights, including the execution of appropriate nondisclosure and confidentiality agreements. The consummation of the transactions contemplated by this Agreement will not result in the loss or impairment of or payment of any additional amounts with respect to, nor require the consent of any other person in respect of, the Company’s right to own, use, or hold for use any of the Intellectual Property Rights as owned, used or held for use in the conduct of the business as currently conducted, except as would not reasonably be expected to result in a Material Adverse 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(gg) </w:t>
      </w:r>
      <w:r>
        <w:rPr>
          <w:rFonts w:ascii="Times New Roman" w:hAnsi="Times New Roman"/>
          <w:sz w:val="20"/>
          <w:u w:val="single"/>
        </w:rPr>
        <w:t>Listing</w:t>
      </w:r>
      <w:r>
        <w:rPr>
          <w:rFonts w:ascii="Times New Roman" w:hAnsi="Times New Roman"/>
          <w:sz w:val="20"/>
        </w:rPr>
        <w:t xml:space="preserve">. The Company is subject to and in compliance in all material respects with the reporting requirements of Section 13 or Section 15(d) of the Exchange Act. The Ordinary Shares are registered pursuant to Section 12(b) or Section 12(g) of the Exchange Act and is listed on the Nasdaq, and the Company has taken no action designed to, or reasonably likely to have the effect of, terminating the registration of the Ordinary Shares under the Exchange Act or delisting the Ordinary Shares from Nasdaq, nor has the Company received any written notification that the Commission or Nasdaq is contemplating terminating such registration or listing. All of the Placement Shares that have been or may be sold under this Agreement have been approved for listing on the Nasdaq, subject to official notice of issuance; the Company has taken all necessary actions to ensure that, upon and at all times after the Nasdaq shall have approved the Placement Shares for listing, it will be in compliance with all applicable corporate governance requirements set forth in the Nasdaq’s listing rules that are then in effect. </w:t>
      </w:r>
    </w:p>
    <w:p>
      <w:pPr>
        <w:pStyle w:val="TextBody"/>
        <w:bidi w:val="0"/>
        <w:spacing w:before="120" w:after="0"/>
        <w:jc w:val="left"/>
        <w:rPr>
          <w:rFonts w:ascii="Times New Roman" w:hAnsi="Times New Roman"/>
          <w:sz w:val="20"/>
        </w:rPr>
      </w:pPr>
      <w:r>
        <w:rPr>
          <w:rFonts w:ascii="Times New Roman" w:hAnsi="Times New Roman"/>
          <w:sz w:val="20"/>
        </w:rPr>
        <w:t>(hh) </w:t>
      </w:r>
      <w:r>
        <w:rPr>
          <w:rFonts w:ascii="Times New Roman" w:hAnsi="Times New Roman"/>
          <w:sz w:val="20"/>
          <w:u w:val="single"/>
        </w:rPr>
        <w:t>Brokers</w:t>
      </w:r>
      <w:r>
        <w:rPr>
          <w:rFonts w:ascii="Times New Roman" w:hAnsi="Times New Roman"/>
          <w:sz w:val="20"/>
        </w:rPr>
        <w:t xml:space="preserve">. Except for TD Cowen, there is no broker, finder or other party that is entitled to receive from the Company any brokerage or finder’s fee or other fee or commission as a result of any transactions contemplated by this Agreement. </w:t>
      </w:r>
    </w:p>
    <w:p>
      <w:pPr>
        <w:pStyle w:val="TextBody"/>
        <w:bidi w:val="0"/>
        <w:spacing w:before="120" w:after="0"/>
        <w:jc w:val="left"/>
        <w:rPr>
          <w:rFonts w:ascii="Times New Roman" w:hAnsi="Times New Roman"/>
          <w:sz w:val="20"/>
        </w:rPr>
      </w:pPr>
      <w:r>
        <w:rPr>
          <w:rFonts w:ascii="Times New Roman" w:hAnsi="Times New Roman"/>
          <w:sz w:val="20"/>
        </w:rPr>
        <w:t>(ii) </w:t>
      </w:r>
      <w:r>
        <w:rPr>
          <w:rFonts w:ascii="Times New Roman" w:hAnsi="Times New Roman"/>
          <w:sz w:val="20"/>
          <w:u w:val="single"/>
        </w:rPr>
        <w:t>No Outstanding Loans or Other Indebtedness</w:t>
      </w:r>
      <w:r>
        <w:rPr>
          <w:rFonts w:ascii="Times New Roman" w:hAnsi="Times New Roman"/>
          <w:sz w:val="20"/>
        </w:rPr>
        <w:t xml:space="preserve">. Except as described in the Prospectus, there are no outstanding loans, advances (except normal advances for business expenses in the ordinary course of business) or guarantees or indebtedness by the Company to or for the benefit of any of the officers or directors of the Company. </w:t>
      </w:r>
    </w:p>
    <w:p>
      <w:pPr>
        <w:pStyle w:val="TextBody"/>
        <w:bidi w:val="0"/>
        <w:spacing w:before="120" w:after="0"/>
        <w:jc w:val="left"/>
        <w:rPr>
          <w:rFonts w:ascii="Times New Roman" w:hAnsi="Times New Roman"/>
          <w:sz w:val="20"/>
        </w:rPr>
      </w:pPr>
      <w:r>
        <w:rPr>
          <w:rFonts w:ascii="Times New Roman" w:hAnsi="Times New Roman"/>
          <w:sz w:val="20"/>
        </w:rPr>
        <w:t>(jj)</w:t>
      </w:r>
      <w:r>
        <w:rPr>
          <w:rFonts w:ascii="Times New Roman" w:hAnsi="Times New Roman"/>
          <w:sz w:val="20"/>
          <w:u w:val="single"/>
        </w:rPr>
        <w:t> No Reliance</w:t>
      </w:r>
      <w:r>
        <w:rPr>
          <w:rFonts w:ascii="Times New Roman" w:hAnsi="Times New Roman"/>
          <w:sz w:val="20"/>
        </w:rPr>
        <w:t xml:space="preserve">. The Company has not relied upon TD Cowen or legal counsel for TD Cowen for any legal, tax or accounting advice in connection with the offering and sale of the Placement Shares. </w:t>
      </w:r>
    </w:p>
    <w:p>
      <w:pPr>
        <w:pStyle w:val="TextBody"/>
        <w:bidi w:val="0"/>
        <w:spacing w:before="120" w:after="0"/>
        <w:jc w:val="left"/>
        <w:rPr>
          <w:rFonts w:ascii="Times New Roman" w:hAnsi="Times New Roman"/>
          <w:sz w:val="20"/>
        </w:rPr>
      </w:pPr>
      <w:r>
        <w:rPr>
          <w:rFonts w:ascii="Times New Roman" w:hAnsi="Times New Roman"/>
          <w:sz w:val="20"/>
        </w:rPr>
        <w:t>(kk)</w:t>
      </w:r>
      <w:r>
        <w:rPr>
          <w:rFonts w:ascii="Times New Roman" w:hAnsi="Times New Roman"/>
          <w:sz w:val="20"/>
          <w:u w:val="single"/>
        </w:rPr>
        <w:t> Lending Relationship</w:t>
      </w:r>
      <w:r>
        <w:rPr>
          <w:rFonts w:ascii="Times New Roman" w:hAnsi="Times New Roman"/>
          <w:sz w:val="20"/>
        </w:rPr>
        <w:t xml:space="preserve">. Except as disclosed in the Prospectus, the Company does not intend to use any of the proceeds from the sale of the Placement Shares to repay any outstanding debt owed to TD Cowen or any affiliate of TD Cowen. </w:t>
      </w:r>
    </w:p>
    <w:p>
      <w:pPr>
        <w:pStyle w:val="TextBody"/>
        <w:bidi w:val="0"/>
        <w:spacing w:before="120" w:after="0"/>
        <w:jc w:val="left"/>
        <w:rPr>
          <w:rFonts w:ascii="Times New Roman" w:hAnsi="Times New Roman"/>
          <w:sz w:val="20"/>
        </w:rPr>
      </w:pPr>
      <w:r>
        <w:rPr>
          <w:rFonts w:ascii="Times New Roman" w:hAnsi="Times New Roman"/>
          <w:sz w:val="20"/>
        </w:rPr>
        <w:t>(ll)</w:t>
      </w:r>
      <w:r>
        <w:rPr>
          <w:rFonts w:ascii="Times New Roman" w:hAnsi="Times New Roman"/>
          <w:sz w:val="20"/>
          <w:u w:val="single"/>
        </w:rPr>
        <w:t> FINRA Exemption</w:t>
      </w:r>
      <w:r>
        <w:rPr>
          <w:rFonts w:ascii="Times New Roman" w:hAnsi="Times New Roman"/>
          <w:sz w:val="20"/>
        </w:rPr>
        <w:t xml:space="preserve">. The Company qualifies as an “experienced issuer” (within the meaning of FINRA Conduct Rule 5110(j)(6)) for purposes of the exemption from filing under FINRA Conduct Rule 5110(h)(1)(C). </w:t>
      </w:r>
    </w:p>
    <w:p>
      <w:pPr>
        <w:pStyle w:val="TextBody"/>
        <w:bidi w:val="0"/>
        <w:spacing w:before="120" w:after="0"/>
        <w:jc w:val="left"/>
        <w:rPr>
          <w:rFonts w:ascii="Times New Roman" w:hAnsi="Times New Roman"/>
          <w:sz w:val="20"/>
        </w:rPr>
      </w:pPr>
      <w:r>
        <w:rPr>
          <w:rFonts w:ascii="Times New Roman" w:hAnsi="Times New Roman"/>
          <w:sz w:val="20"/>
        </w:rPr>
        <w:t>(mm)</w:t>
      </w:r>
      <w:r>
        <w:rPr>
          <w:rFonts w:ascii="Times New Roman" w:hAnsi="Times New Roman"/>
          <w:sz w:val="20"/>
          <w:u w:val="single"/>
        </w:rPr>
        <w:t> Compliance with Laws</w:t>
      </w:r>
      <w:r>
        <w:rPr>
          <w:rFonts w:ascii="Times New Roman" w:hAnsi="Times New Roman"/>
          <w:sz w:val="20"/>
        </w:rPr>
        <w:t xml:space="preserve">. The Company has not been advised, and has no reason to believe, that it and each of its Subsidiaries are not conducting business in compliance with all applicable laws, rules and regulations of the jurisdictions in which it is conducting business, except where failure to be so in compliance would not result in a Material Adverse Change. </w:t>
      </w:r>
    </w:p>
    <w:p>
      <w:pPr>
        <w:pStyle w:val="TextBody"/>
        <w:bidi w:val="0"/>
        <w:spacing w:before="120" w:after="0"/>
        <w:jc w:val="left"/>
        <w:rPr>
          <w:rFonts w:ascii="Times New Roman" w:hAnsi="Times New Roman"/>
          <w:sz w:val="20"/>
        </w:rPr>
      </w:pPr>
      <w:r>
        <w:rPr>
          <w:rFonts w:ascii="Times New Roman" w:hAnsi="Times New Roman"/>
          <w:sz w:val="20"/>
        </w:rPr>
        <w:t>(nn)</w:t>
      </w:r>
      <w:r>
        <w:rPr>
          <w:rFonts w:ascii="Times New Roman" w:hAnsi="Times New Roman"/>
          <w:sz w:val="20"/>
          <w:u w:val="single"/>
        </w:rPr>
        <w:t> Privacy Laws</w:t>
      </w:r>
      <w:r>
        <w:rPr>
          <w:rFonts w:ascii="Times New Roman" w:hAnsi="Times New Roman"/>
          <w:sz w:val="20"/>
        </w:rPr>
        <w:t>. The Company and each of its Subsidiaries are, and at all prior times were, in material compliance with all applicable data privacy and security laws and regulations, including, without limitation, the Health Insurance Portability and Accountability Act (“</w:t>
      </w:r>
      <w:r>
        <w:rPr>
          <w:rFonts w:ascii="Times New Roman" w:hAnsi="Times New Roman"/>
          <w:b/>
          <w:sz w:val="20"/>
          <w:u w:val="single"/>
        </w:rPr>
        <w:t>HIPAA</w:t>
      </w:r>
      <w:r>
        <w:rPr>
          <w:rFonts w:ascii="Times New Roman" w:hAnsi="Times New Roman"/>
          <w:sz w:val="20"/>
        </w:rPr>
        <w:t>”), as amended by the Health Information Technology for Economic and Clinical Health Act (the “</w:t>
      </w:r>
      <w:r>
        <w:rPr>
          <w:rFonts w:ascii="Times New Roman" w:hAnsi="Times New Roman"/>
          <w:b/>
          <w:sz w:val="20"/>
          <w:u w:val="single"/>
        </w:rPr>
        <w:t>HITECH Act</w:t>
      </w:r>
      <w:r>
        <w:rPr>
          <w:rFonts w:ascii="Times New Roman" w:hAnsi="Times New Roman"/>
          <w:sz w:val="20"/>
        </w:rPr>
        <w:t>”) (42 U.S.C. Section 17921 et seq.); and the Company and each its Subsidiaries have taken all necessary actions to comply with the European Union General Data Protection Regulation (“</w:t>
      </w:r>
      <w:r>
        <w:rPr>
          <w:rFonts w:ascii="Times New Roman" w:hAnsi="Times New Roman"/>
          <w:b/>
          <w:sz w:val="20"/>
          <w:u w:val="single"/>
        </w:rPr>
        <w:t>GDPR</w:t>
      </w:r>
      <w:r>
        <w:rPr>
          <w:rFonts w:ascii="Times New Roman" w:hAnsi="Times New Roman"/>
          <w:sz w:val="20"/>
        </w:rPr>
        <w:t>”) (EU 2016/679) (collectively, “</w:t>
      </w:r>
      <w:r>
        <w:rPr>
          <w:rFonts w:ascii="Times New Roman" w:hAnsi="Times New Roman"/>
          <w:b/>
          <w:sz w:val="20"/>
          <w:u w:val="single"/>
        </w:rPr>
        <w:t>Privacy Laws</w:t>
      </w:r>
      <w:r>
        <w:rPr>
          <w:rFonts w:ascii="Times New Roman" w:hAnsi="Times New Roman"/>
          <w:sz w:val="20"/>
        </w:rPr>
        <w:t xml:space="preserve">”). To ensure compliance with the Privacy Laws, the Company and each of its Subsidiaries have in place, comply with, and take appropriate steps reasonably designed to ensure compliance in all material respects with their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policies and procedures relating to data privacy and security and the collection, storage, use, disclosure, handling and analysis of Personal Data (the “</w:t>
      </w:r>
      <w:r>
        <w:rPr>
          <w:rFonts w:ascii="Times New Roman" w:hAnsi="Times New Roman"/>
          <w:b/>
          <w:sz w:val="20"/>
          <w:u w:val="single"/>
        </w:rPr>
        <w:t>Policies</w:t>
      </w:r>
      <w:r>
        <w:rPr>
          <w:rFonts w:ascii="Times New Roman" w:hAnsi="Times New Roman"/>
          <w:sz w:val="20"/>
        </w:rPr>
        <w:t>”). The Company provides accurate notice of its Policies to its customers, employees, third party vendors and representatives. The Policies provide accurate and sufficient notice of the Company’s then-current privacy practices relating to its subject matter in all material respects and such Policies do not contain any material omissions of the Company’s then-current privacy practices. “</w:t>
      </w:r>
      <w:r>
        <w:rPr>
          <w:rFonts w:ascii="Times New Roman" w:hAnsi="Times New Roman"/>
          <w:b/>
          <w:sz w:val="20"/>
          <w:u w:val="single"/>
        </w:rPr>
        <w:t>Personal Data</w:t>
      </w:r>
      <w:r>
        <w:rPr>
          <w:rFonts w:ascii="Times New Roman" w:hAnsi="Times New Roman"/>
          <w:sz w:val="20"/>
        </w:rPr>
        <w:t xml:space="preserve">” means (i) a natural persons’ name, street address, telephone number, email address, photograph, social security number, bank information, or customer or account number; (ii) any information which would qualify as “personally identifying information” under the Federal Trade Commission Act, as amended; (iii) Protected Health Information as defined by HIPAA; (iv) “personal data” as defined by GDPR; and (v) any other piece of information that allows the identification of such natural person, or his or her family, or permits the collection or analysis of any data related to an identified person’s health or sexual orientation. None of such disclosures made or contained in any of the Policies have been inaccurate, misleading, deceptive or in violation of any Privacy Laws or Policies in any material respect. The execution, delivery and performance of this Agreement or any other agreement referred to in this Agreement will not result in a breach of any Privacy Laws or Policies by the Company in any material respect. Neither the Company nor any of its Subsidiaries, (i) has received written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imposed any obligation or liability under any Privacy Law. </w:t>
      </w:r>
    </w:p>
    <w:p>
      <w:pPr>
        <w:pStyle w:val="TextBody"/>
        <w:bidi w:val="0"/>
        <w:spacing w:before="120" w:after="0"/>
        <w:jc w:val="left"/>
        <w:rPr>
          <w:rFonts w:ascii="Times New Roman" w:hAnsi="Times New Roman"/>
          <w:sz w:val="20"/>
        </w:rPr>
      </w:pPr>
      <w:r>
        <w:rPr>
          <w:rFonts w:ascii="Times New Roman" w:hAnsi="Times New Roman"/>
          <w:sz w:val="20"/>
        </w:rPr>
        <w:t>(oo)</w:t>
      </w:r>
      <w:r>
        <w:rPr>
          <w:rFonts w:ascii="Times New Roman" w:hAnsi="Times New Roman"/>
          <w:sz w:val="20"/>
          <w:u w:val="single"/>
        </w:rPr>
        <w:t> Compliance with Certain Regulatory Matters</w:t>
      </w:r>
      <w:r>
        <w:rPr>
          <w:rFonts w:ascii="Times New Roman" w:hAnsi="Times New Roman"/>
          <w:sz w:val="20"/>
        </w:rPr>
        <w:t>. Except as described in the Registration Statement and the Prospectus, the Company: (i) has operated and currently operates its business in compliance in all material respects with all applicable Health Care Laws (as defined below) and any other applicable requirements of the Food and Drug Administration (“</w:t>
      </w:r>
      <w:r>
        <w:rPr>
          <w:rFonts w:ascii="Times New Roman" w:hAnsi="Times New Roman"/>
          <w:b/>
          <w:sz w:val="20"/>
          <w:u w:val="single"/>
        </w:rPr>
        <w:t>FDA</w:t>
      </w:r>
      <w:r>
        <w:rPr>
          <w:rFonts w:ascii="Times New Roman" w:hAnsi="Times New Roman"/>
          <w:sz w:val="20"/>
        </w:rPr>
        <w:t>”), the Department of Health and Human Services (“</w:t>
      </w:r>
      <w:r>
        <w:rPr>
          <w:rFonts w:ascii="Times New Roman" w:hAnsi="Times New Roman"/>
          <w:b/>
          <w:sz w:val="20"/>
          <w:u w:val="single"/>
        </w:rPr>
        <w:t>HHS</w:t>
      </w:r>
      <w:r>
        <w:rPr>
          <w:rFonts w:ascii="Times New Roman" w:hAnsi="Times New Roman"/>
          <w:sz w:val="20"/>
        </w:rPr>
        <w:t>”) and any comparable foreign or other regulatory authority to which they are subject (collectively, the “Applicable Regulatory Authorities”) applicable to the ownership, testing, development, manufacture, packaging, processing, use, distribution, storage, import, export or disposal of any of the Company’s product candidates; (ii) has not received any FDA Form 483, written notice of adverse finding, warning letter, untitled letter or other correspondence or written notice from any court or arbitrator or governmental or regulatory authority alleging or asserting material non-compliance with (A) any Health Care Laws or (B) or any licenses, certificates, approvals, clearances, exemptions, registrations, authorizations, permits and supplements or amendments thereto required by any such Health Care Laws (“</w:t>
      </w:r>
      <w:r>
        <w:rPr>
          <w:rFonts w:ascii="Times New Roman" w:hAnsi="Times New Roman"/>
          <w:b/>
          <w:sz w:val="20"/>
          <w:u w:val="single"/>
        </w:rPr>
        <w:t>Regulatory Authorizations</w:t>
      </w:r>
      <w:r>
        <w:rPr>
          <w:rFonts w:ascii="Times New Roman" w:hAnsi="Times New Roman"/>
          <w:sz w:val="20"/>
        </w:rPr>
        <w:t xml:space="preserve">”); (iii) possesses all Regulatory Authorizations required to conduct its business as currently conducted and such Regulatory Authorizations are valid and in full force and effect and the Company is not in violation, in any material respect, of any term of any such Regulatory Authorizations; (iv) has not received notice of any claim, action, suit, proceeding, hearing, enforcement, investigation, arbitration or other action from the Applicable Regulatory Authorities or any other third party alleging that any product operation or activity is in material violation of any Health Care Laws or Regulatory Authorizations and has no knowledge that the Applicable Regulatory Authorities or any other third party is considering any such claim, litigation, arbitration, action, suit, investigation or proceeding; (v) has not received notice that any of the Applicable Regulatory Authorities has taken, is taking or intends to take action to limit, suspend,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modify or revoke any material Regulatory Authorizations and has no knowledge that any of the Applicable Regulatory Authorities is considering such action; (vi) has filed, obtained, maintained or submitted all material reports, documents, forms, notices, applications, records, claims, submissions and supplements or amendments as required by any Health Care Laws or Regulatory Authorizations and that all such reports, documents, forms, notices, applications, records, claims, submissions and supplements or amendments were materially complete and correct on the date filed (or were materially corrected or supplemented by a subsequent submission); (vii) is not a party to nor has any ongoing reporting obligations pursuant to any corporate integrity agreements, deferred or non-prosecution agreements, monitoring agreements, consent decrees, settlement orders, plans of correction or similar agreements with or imposed by any Applicable Regulatory Authority; and (viii) along with its employees, officers and directors, and, to the Company’s knowledge, agents, has not been excluded, suspended or debarred from participation in any government health care program or human clinical research or, to the knowledge of the Company, is subject to a governmental inquiry, investigation, proceeding, or other similar action that could reasonably be expected to result in debarment, suspension, or exclusion. The term “</w:t>
      </w:r>
      <w:r>
        <w:rPr>
          <w:rFonts w:ascii="Times New Roman" w:hAnsi="Times New Roman"/>
          <w:b/>
          <w:sz w:val="20"/>
          <w:u w:val="single"/>
        </w:rPr>
        <w:t>Health Care Laws</w:t>
      </w:r>
      <w:r>
        <w:rPr>
          <w:rFonts w:ascii="Times New Roman" w:hAnsi="Times New Roman"/>
          <w:sz w:val="20"/>
        </w:rPr>
        <w:t xml:space="preserve">” means Title XVIII of the Social Security Act, 42 U.S.C. §§ 1395-1395hhh (the Medicare statute); Title XIX of the Social Security Act, 42 U.S.C. §§ 1396-1396v (the Medicaid statute); the Federal Anti-Kickback Statute, 42 U.S.C. § 1320a-7b(b); the civil False Claims Act, 31 U.S.C. §§ 3729 et seq.; the criminal False Claims Act 42 U.S.C. 1320a-7b(a); any criminal laws relating to health care fraud and abuse, including but not limited to 18 U.S.C. Sections 286, 287 and 1349 and the health care fraud criminal provisions under HIPAA; the Civil Monetary Penalties Law, 42 U.S.C. §§ 1320a-7a and 1320a-7b; the Physician Payments Sunshine Act, 42 U.S.C. § 1320a-7h; the Exclusion Laws, 42 U.S.C. § 1320a-7; HITECH Act; the Federal Food, Drug, and Cosmetic Act, 21 U.S.C. §§ 301 et seq.; the regulations promulgated pursuant to such laws; and any similar federal, state and local laws and regulations. </w:t>
      </w:r>
    </w:p>
    <w:p>
      <w:pPr>
        <w:pStyle w:val="TextBody"/>
        <w:bidi w:val="0"/>
        <w:spacing w:before="120" w:after="0"/>
        <w:jc w:val="left"/>
        <w:rPr>
          <w:rFonts w:ascii="Times New Roman" w:hAnsi="Times New Roman"/>
          <w:sz w:val="20"/>
        </w:rPr>
      </w:pPr>
      <w:r>
        <w:rPr>
          <w:rFonts w:ascii="Times New Roman" w:hAnsi="Times New Roman"/>
          <w:sz w:val="20"/>
        </w:rPr>
        <w:t>(pp)</w:t>
      </w:r>
      <w:r>
        <w:rPr>
          <w:rFonts w:ascii="Times New Roman" w:hAnsi="Times New Roman"/>
          <w:sz w:val="20"/>
          <w:u w:val="single"/>
        </w:rPr>
        <w:t> Manufacturing Compliance</w:t>
      </w:r>
      <w:r>
        <w:rPr>
          <w:rFonts w:ascii="Times New Roman" w:hAnsi="Times New Roman"/>
          <w:sz w:val="20"/>
        </w:rPr>
        <w:t xml:space="preserve">. To the Company’s knowledge, the manufacturing facilities and operations of its suppliers are operated in compliance in all material respects with all applicable statutes, rules, regulations and policies of the Applicable Regulatory Authorities. </w:t>
      </w:r>
    </w:p>
    <w:p>
      <w:pPr>
        <w:pStyle w:val="TextBody"/>
        <w:bidi w:val="0"/>
        <w:spacing w:before="120" w:after="0"/>
        <w:jc w:val="left"/>
        <w:rPr>
          <w:rFonts w:ascii="Times New Roman" w:hAnsi="Times New Roman"/>
          <w:sz w:val="20"/>
        </w:rPr>
      </w:pPr>
      <w:r>
        <w:rPr>
          <w:rFonts w:ascii="Times New Roman" w:hAnsi="Times New Roman"/>
          <w:sz w:val="20"/>
        </w:rPr>
        <w:t>(qq)</w:t>
      </w:r>
      <w:r>
        <w:rPr>
          <w:rFonts w:ascii="Times New Roman" w:hAnsi="Times New Roman"/>
          <w:sz w:val="20"/>
          <w:u w:val="single"/>
        </w:rPr>
        <w:t> Company Trials</w:t>
      </w:r>
      <w:r>
        <w:rPr>
          <w:rFonts w:ascii="Times New Roman" w:hAnsi="Times New Roman"/>
          <w:sz w:val="20"/>
        </w:rPr>
        <w:t>. None of the Company’s product candidates have received marketing approval from any Applicable Regulatory Authority. All clinical and pre-clinical studies and trials conducted by or on behalf of or sponsored by the Company, or in which the Company has participated with respect to the Company’s product candidates, including without limitation any such studies and trials that are described in the Registration Statement and the Prospectus, or the results of which are referred to in the Registration Statement and the Prospectus, as applicable (collectively, “</w:t>
      </w:r>
      <w:r>
        <w:rPr>
          <w:rFonts w:ascii="Times New Roman" w:hAnsi="Times New Roman"/>
          <w:b/>
          <w:sz w:val="20"/>
          <w:u w:val="single"/>
        </w:rPr>
        <w:t>Company Trials</w:t>
      </w:r>
      <w:r>
        <w:rPr>
          <w:rFonts w:ascii="Times New Roman" w:hAnsi="Times New Roman"/>
          <w:sz w:val="20"/>
        </w:rPr>
        <w:t xml:space="preserve">”), were, and if still pending are, being conducted in all material respects in accordance with all applicable Health Care Laws, standard medical and scientific research procedures and any applicable rules, regulations and policies of the jurisdiction in which such trials and studies are being conducted; the descriptions in the Registration Statement and the Prospectus of the results of any Company Trials are accurate and complete descriptions in all material respects and fairly present the data derived therefrom; the Company has no knowledge of any other studies or trials not described in the Registration Statement and the Prospectus, the results of which are inconsistent with or call into question the results described or referred to in the Registration Statement and the Prospectus; the Company has not received, and the Company has no knowledge after due inquiry that any of its collaboration partners have received, any written notices, correspondence or other communications from the Applicable Regulatory Authorities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other governmental entity requiring or threatening the termination, material modification or suspension of Company Trials, other than ordinary course communications with respect to modifications in connection with the design and implementation of such studies or trials, and, to the Company’s knowledge, there are no reasonable grounds for the same. No investigational new drug application or comparable submission filed by or on behalf of the Company with the FDA has been terminated or suspended by the FDA or any other Applicable Regulatory Authority. The Company has obtained (or caused to be obtained) informed consent by or on behalf of each human subject who participated in a Company Trial. In using or disclosing patient information received by the Company in connection with a Company Trial, the Company has complied in all material respects with all applicable laws and regulatory rules or requirements, including, without limitation, HIPAA and the rules and regulations thereunder. To the Company’s knowledge, none of the Company Trials involved any investigator who has been disqualified as a clinical investigator by FDA or has been found by the FDA to have engaged in scientific misconduct. </w:t>
      </w:r>
    </w:p>
    <w:p>
      <w:pPr>
        <w:pStyle w:val="TextBody"/>
        <w:bidi w:val="0"/>
        <w:spacing w:before="120" w:after="0"/>
        <w:jc w:val="left"/>
        <w:rPr>
          <w:rFonts w:ascii="Times New Roman" w:hAnsi="Times New Roman"/>
          <w:sz w:val="20"/>
        </w:rPr>
      </w:pPr>
      <w:r>
        <w:rPr>
          <w:rFonts w:ascii="Times New Roman" w:hAnsi="Times New Roman"/>
          <w:sz w:val="20"/>
        </w:rPr>
        <w:t>(rr)</w:t>
      </w:r>
      <w:r>
        <w:rPr>
          <w:rFonts w:ascii="Times New Roman" w:hAnsi="Times New Roman"/>
          <w:sz w:val="20"/>
          <w:u w:val="single"/>
        </w:rPr>
        <w:t> IT Systems</w:t>
      </w:r>
      <w:r>
        <w:rPr>
          <w:rFonts w:ascii="Times New Roman" w:hAnsi="Times New Roman"/>
          <w:sz w:val="20"/>
        </w:rPr>
        <w:t>. (i)(x)To the Company’s knowledge, there has been no material security breach or attack or other compromise of or relating to any of the Company’s and its Subsidiaries’ information technology and computer systems, networks, hardware, software, data (including the data of their respective customers, employees, suppliers, vendors and any third party data maintained by or on behalf of them), equipment or technology (“</w:t>
      </w:r>
      <w:r>
        <w:rPr>
          <w:rFonts w:ascii="Times New Roman" w:hAnsi="Times New Roman"/>
          <w:b/>
          <w:sz w:val="20"/>
          <w:u w:val="single"/>
        </w:rPr>
        <w:t>IT Systems and Data</w:t>
      </w:r>
      <w:r>
        <w:rPr>
          <w:rFonts w:ascii="Times New Roman" w:hAnsi="Times New Roman"/>
          <w:sz w:val="20"/>
        </w:rPr>
        <w:t xml:space="preserve">”), and (y) the Company and its Subsidiaries have not been notified of, and have no knowledge of any event or condition that would reasonably be expected to result in any material security breach, attack or compromise to their IT Systems and Data, (ii) the Company and each of its Subsidiaries have complied, and are presently in compliance with, in all material respects, all applicable laws, statutes or any judgment, order, rule or regulation of any court or arbitrator or governmental or regulatory authority and all industry guidelines, standards, internal policies and contractual obligations relating to the privacy and security of IT Systems and Data and to the protection of such IT Systems and Data from unauthorized use, access, misappropriation or modification and (iii) the Company and each of its Subsidiaries have implemented backup and disaster recovery technology consistent with industry standards and practice. </w:t>
      </w:r>
    </w:p>
    <w:p>
      <w:pPr>
        <w:pStyle w:val="TextBody"/>
        <w:bidi w:val="0"/>
        <w:spacing w:before="120" w:after="0"/>
        <w:jc w:val="left"/>
        <w:rPr>
          <w:rFonts w:ascii="Times New Roman" w:hAnsi="Times New Roman"/>
          <w:sz w:val="20"/>
        </w:rPr>
      </w:pPr>
      <w:r>
        <w:rPr>
          <w:rFonts w:ascii="Times New Roman" w:hAnsi="Times New Roman"/>
          <w:sz w:val="20"/>
        </w:rPr>
        <w:t>(ss)</w:t>
      </w:r>
      <w:r>
        <w:rPr>
          <w:rFonts w:ascii="Times New Roman" w:hAnsi="Times New Roman"/>
          <w:sz w:val="20"/>
          <w:u w:val="single"/>
        </w:rPr>
        <w:t> Export and Import Laws</w:t>
      </w:r>
      <w:r>
        <w:rPr>
          <w:rFonts w:ascii="Times New Roman" w:hAnsi="Times New Roman"/>
          <w:sz w:val="20"/>
        </w:rPr>
        <w:t>. Each of the Company and the Subsidiaries, and, to the Company’s knowledge, each of their affiliates and any director, officer, agent or employee of, or other person associated with or acting on behalf of, the Company has acted at all times in compliance with applicable Export and Import Laws (as defined below), except where such noncompliance would not reasonably be expected to result in a Material Adverse Change, and there are no claims, complaints, charges, investigations or proceedings pending or expected or, to the knowledge of the Company, threatened between the Company or any of the Subsidiaries and any Governmental Authority under any Export or Import Laws. The term “</w:t>
      </w:r>
      <w:r>
        <w:rPr>
          <w:rFonts w:ascii="Times New Roman" w:hAnsi="Times New Roman"/>
          <w:b/>
          <w:sz w:val="20"/>
          <w:u w:val="single"/>
        </w:rPr>
        <w:t>Export and Import Laws</w:t>
      </w:r>
      <w:r>
        <w:rPr>
          <w:rFonts w:ascii="Times New Roman" w:hAnsi="Times New Roman"/>
          <w:sz w:val="20"/>
        </w:rPr>
        <w:t xml:space="preserve">” means the Arms Export Control Act, the International Traffic in Arms Regulations, the Export Administration Act of 1979, as amended, the Export Administration Regulations, and all other laws and regulations of the United States government regulating the provision of services to non-U.S. parties or the export and import of articles or information from and to the United States of America, and all similar laws and regulations of any foreign government regulating the provision of services to parties not of the foreign country or the export and import of articles and information from and to the foreign country to parties not of the foreign country.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(tt)</w:t>
      </w:r>
      <w:r>
        <w:rPr>
          <w:rFonts w:ascii="Times New Roman" w:hAnsi="Times New Roman"/>
          <w:sz w:val="20"/>
          <w:u w:val="single"/>
        </w:rPr>
        <w:t> Other At The Market Sales Agreements</w:t>
      </w:r>
      <w:r>
        <w:rPr>
          <w:rFonts w:ascii="Times New Roman" w:hAnsi="Times New Roman"/>
          <w:sz w:val="20"/>
        </w:rPr>
        <w:t xml:space="preserve">. The Company is not a party to any agreement with an agent or underwriter for any other “at the market” offering. </w:t>
      </w:r>
    </w:p>
    <w:p>
      <w:pPr>
        <w:pStyle w:val="TextBody"/>
        <w:bidi w:val="0"/>
        <w:spacing w:before="120" w:after="0"/>
        <w:jc w:val="left"/>
        <w:rPr>
          <w:rFonts w:ascii="Times New Roman" w:hAnsi="Times New Roman"/>
          <w:sz w:val="20"/>
        </w:rPr>
      </w:pPr>
      <w:r>
        <w:rPr>
          <w:rFonts w:ascii="Times New Roman" w:hAnsi="Times New Roman"/>
          <w:sz w:val="20"/>
        </w:rPr>
        <w:t>(uu)</w:t>
      </w:r>
      <w:r>
        <w:rPr>
          <w:rFonts w:ascii="Times New Roman" w:hAnsi="Times New Roman"/>
          <w:sz w:val="20"/>
          <w:u w:val="single"/>
        </w:rPr>
        <w:t> Actively-Traded Security</w:t>
      </w:r>
      <w:r>
        <w:rPr>
          <w:rFonts w:ascii="Times New Roman" w:hAnsi="Times New Roman"/>
          <w:sz w:val="20"/>
        </w:rPr>
        <w:t xml:space="preserve">. The Ordinary Shares are an “actively-traded security” exempted from the requirements of Rule 101 of Regulation M under the Exchange Act by subsection (c)(1) of such rule. </w:t>
      </w:r>
    </w:p>
    <w:p>
      <w:pPr>
        <w:pStyle w:val="TextBody"/>
        <w:bidi w:val="0"/>
        <w:spacing w:before="120" w:after="0"/>
        <w:jc w:val="left"/>
        <w:rPr>
          <w:rFonts w:ascii="Times New Roman" w:hAnsi="Times New Roman"/>
          <w:sz w:val="20"/>
        </w:rPr>
      </w:pPr>
      <w:r>
        <w:rPr>
          <w:rFonts w:ascii="Times New Roman" w:hAnsi="Times New Roman"/>
          <w:sz w:val="20"/>
        </w:rPr>
        <w:t>(vv)</w:t>
      </w:r>
      <w:r>
        <w:rPr>
          <w:rFonts w:ascii="Times New Roman" w:hAnsi="Times New Roman"/>
          <w:sz w:val="20"/>
          <w:u w:val="single"/>
        </w:rPr>
        <w:t> Outbound Investment Security Program</w:t>
      </w:r>
      <w:r>
        <w:rPr>
          <w:rFonts w:ascii="Times New Roman" w:hAnsi="Times New Roman"/>
          <w:sz w:val="20"/>
        </w:rPr>
        <w:t>. Neither the Company nor any of its Subsidiaries is a “covered foreign person”, as that term is defined in 31 C.F.R. § 850.209. Neither the Company nor any of its Subsidiaries currently engages, or has plans to engage, directly or indirectly, in a “covered activity”, as that term is defined in 31 C.F.R. § 850.208 (“</w:t>
      </w:r>
      <w:r>
        <w:rPr>
          <w:rFonts w:ascii="Times New Roman" w:hAnsi="Times New Roman"/>
          <w:b/>
          <w:sz w:val="20"/>
          <w:u w:val="single"/>
        </w:rPr>
        <w:t>Covered Activity</w:t>
      </w:r>
      <w:r>
        <w:rPr>
          <w:rFonts w:ascii="Times New Roman" w:hAnsi="Times New Roman"/>
          <w:sz w:val="20"/>
        </w:rPr>
        <w:t xml:space="preserve">”). The Company does not have any joint ventures that engages in or plans to engage in any Covered Activity. The Company also does not, directly or indirectly, hold a board seat on, have a voting or equity interest in, or have any contractual power to direct or cause the direction of the management or policies of any person or persons that engages or plans to engage in any Covered Activity. </w:t>
      </w:r>
    </w:p>
    <w:p>
      <w:pPr>
        <w:pStyle w:val="TextBody"/>
        <w:bidi w:val="0"/>
        <w:spacing w:before="120" w:after="0"/>
        <w:jc w:val="left"/>
        <w:rPr>
          <w:rFonts w:ascii="Times New Roman" w:hAnsi="Times New Roman"/>
          <w:sz w:val="20"/>
        </w:rPr>
      </w:pPr>
      <w:r>
        <w:rPr>
          <w:rFonts w:ascii="Times New Roman" w:hAnsi="Times New Roman"/>
          <w:sz w:val="20"/>
        </w:rPr>
        <w:t xml:space="preserve">(ww) The choice of laws of the State of New York as the governing law of this Agreement is a valid choice of law under the laws of the Cayman Islands that will be honored by courts in the Cayman Islands. The Company has the power to submit to the non-exclusive personal jurisdiction of the State of New York, and the Company has the power to designate, appoint and authorize an authorized agent for service of process in any action arising out of or relating to this Agreement or the Placement Shares in such courts in the State of New York, and service of process effected on such authorized agent will be effective to confer valid personal jurisdiction over the Company. </w:t>
      </w:r>
    </w:p>
    <w:p>
      <w:pPr>
        <w:pStyle w:val="TextBody"/>
        <w:bidi w:val="0"/>
        <w:spacing w:before="120" w:after="0"/>
        <w:jc w:val="left"/>
        <w:rPr>
          <w:rFonts w:ascii="Times New Roman" w:hAnsi="Times New Roman"/>
          <w:sz w:val="20"/>
        </w:rPr>
      </w:pPr>
      <w:r>
        <w:rPr>
          <w:rFonts w:ascii="Times New Roman" w:hAnsi="Times New Roman"/>
          <w:sz w:val="20"/>
        </w:rPr>
        <w:t xml:space="preserve">(xx) Any final judgment for a fixed sum of money rendered by a court having jurisdiction under its own domestic laws in respect of any suit, action or proceeding against the Company based upon this Agreement and the Placement Shares would be recognized and enforced against the Company by Cayman Islands courts without re-examining the merits of the case under the common law doctrine of obligation; provided that (i) adequate service of process has been effected and the defendant has had a reasonable opportunity to be heard, (ii) such judgments or the enforcement thereof are not contrary to the law, public policy, security or sovereignty of the Cayman Islands, (iii) such judgments were not obtained by fraudulent means and do not conflict with any other valid judgment in the same matter between the same parties, and (iv) an action between the same parties in the same matter is not pending in any Cayman Islands court at the time the lawsuit is instituted in the foreign court; it is not necessary that this Agreement, the Prospectus or any other document be filed or recorded with any court or other authority in the Cayman Islands. </w:t>
      </w:r>
    </w:p>
    <w:p>
      <w:pPr>
        <w:pStyle w:val="TextBody"/>
        <w:bidi w:val="0"/>
        <w:spacing w:before="120" w:after="0"/>
        <w:jc w:val="left"/>
        <w:rPr>
          <w:rFonts w:ascii="Times New Roman" w:hAnsi="Times New Roman"/>
          <w:sz w:val="20"/>
        </w:rPr>
      </w:pPr>
      <w:r>
        <w:rPr>
          <w:rFonts w:ascii="Times New Roman" w:hAnsi="Times New Roman"/>
          <w:sz w:val="20"/>
        </w:rPr>
        <w:t xml:space="preserve">(yy) Except as disclosed in the Registration Statement and the Prospectus, no transaction stamp or other issuance, transfer or withholding taxes or duties are payable by or on behalf of TD Cowen to the government of the Cayman Islands or any political subdivision or taxing authority thereof or therein in connection with (i) the issuance of the Placement Shares, (ii) the sale and issuance by the Company of the Placement Shares to or for the account of TD Cowen, (iii) the initial resale sale and issuance by TD Cowen of the Placement Shares to purchasers thereof or (iv) the execution, delivery and performance of this Agreement or any other document contemplated hereby; provided, that, this Agreement is not executed in, or after execution, brought within the jurisdiction of the Cayman Islands. The Company confirms it has not executed this Agreement in, nor will it, after execution, bring this Agreement within, the jurisdiction of the Cayman Islands.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certificate signed by an officer of the Company and delivered to TD Cowen or to counsel for TD Cowen pursuant to or in connection with this Agreement shall be deemed to be a representation by the Company to TD Cowen as to the matters set forth therein. </w:t>
      </w:r>
    </w:p>
    <w:p>
      <w:pPr>
        <w:pStyle w:val="TextBody"/>
        <w:bidi w:val="0"/>
        <w:spacing w:before="240" w:after="0"/>
        <w:jc w:val="left"/>
        <w:rPr>
          <w:rFonts w:ascii="Times New Roman" w:hAnsi="Times New Roman"/>
          <w:sz w:val="20"/>
        </w:rPr>
      </w:pPr>
      <w:r>
        <w:rPr>
          <w:rFonts w:ascii="Times New Roman" w:hAnsi="Times New Roman"/>
          <w:sz w:val="20"/>
        </w:rPr>
        <w:t xml:space="preserve">The Company acknowledges that TD Cowen and, for purposes of the opinions to be delivered pursuant to </w:t>
      </w:r>
      <w:r>
        <w:rPr>
          <w:rFonts w:ascii="Times New Roman" w:hAnsi="Times New Roman"/>
          <w:sz w:val="20"/>
          <w:u w:val="single"/>
        </w:rPr>
        <w:t>Section 7</w:t>
      </w:r>
      <w:r>
        <w:rPr>
          <w:rFonts w:ascii="Times New Roman" w:hAnsi="Times New Roman"/>
          <w:sz w:val="20"/>
        </w:rPr>
        <w:t xml:space="preserve"> hereof, counsel to the Company and counsel to TD Cowen, will rely upon the accuracy and truthfulness of the foregoing representations and hereby consents to such reliance. </w:t>
      </w:r>
    </w:p>
    <w:p>
      <w:pPr>
        <w:pStyle w:val="TextBody"/>
        <w:bidi w:val="0"/>
        <w:spacing w:before="120" w:after="0"/>
        <w:jc w:val="left"/>
        <w:rPr>
          <w:rFonts w:ascii="Times New Roman" w:hAnsi="Times New Roman"/>
          <w:sz w:val="20"/>
        </w:rPr>
      </w:pPr>
      <w:r>
        <w:rPr>
          <w:rFonts w:ascii="Times New Roman" w:hAnsi="Times New Roman"/>
          <w:sz w:val="20"/>
        </w:rPr>
        <w:t>7. </w:t>
      </w:r>
      <w:r>
        <w:rPr>
          <w:rFonts w:ascii="Times New Roman" w:hAnsi="Times New Roman"/>
          <w:sz w:val="20"/>
          <w:u w:val="single"/>
        </w:rPr>
        <w:t>Covenants of the Company</w:t>
      </w:r>
      <w:r>
        <w:rPr>
          <w:rFonts w:ascii="Times New Roman" w:hAnsi="Times New Roman"/>
          <w:sz w:val="20"/>
        </w:rPr>
        <w:t xml:space="preserve">. The Company covenants and agrees with TD Cowen that: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Registration Statement Amendments</w:t>
      </w:r>
      <w:r>
        <w:rPr>
          <w:rFonts w:ascii="Times New Roman" w:hAnsi="Times New Roman"/>
          <w:sz w:val="20"/>
        </w:rPr>
        <w:t>. After the date of this Agreement and during any period in which a Prospectus relating to any Placement Shares is required to be delivered by TD Cowen under the Securities Act (including in circumstances where such requirement may be satisfied pursuant to Rule 172 under the Securities Act), (i) the Company will notify TD Cowen promptly of the time when any subsequent amendment to the Registration Statement, other than documents incorporated by reference or amendments not related to the transactions contemplated hereby, has been filed with the Commission and/or has become effective or any subsequent supplement to the Prospectus, other than documents incorporated by reference, has been filed and of any request by the Commission for any amendment or supplement to the Registration Statement or Prospectus or for additional information (in each case, insofar as it relates to the transactions contemplated hereby), (ii) the Company will prepare and file with the Commission, promptly upon TD Cowen’s reasonable request, any amendments or supplements to the Registration Statement or Prospectus that, in TD Cowen’s reasonable opinion, may be necessary or advisable in connection with the distribution of the Placement Shares by TD Cowen (</w:t>
      </w:r>
      <w:r>
        <w:rPr>
          <w:rFonts w:ascii="Times New Roman" w:hAnsi="Times New Roman"/>
          <w:i/>
          <w:sz w:val="20"/>
        </w:rPr>
        <w:t>provided, however</w:t>
      </w:r>
      <w:r>
        <w:rPr>
          <w:rFonts w:ascii="Times New Roman" w:hAnsi="Times New Roman"/>
          <w:sz w:val="20"/>
        </w:rPr>
        <w:t>, that (x) the failure of TD Cowen to make such request shall not relieve the Company of any obligation or liability hereunder, or affect TD Cowen’s right to rely on the representations and warranties made by the Company in this Agreement and (y) the only remedy TD Cowen shall have with respect to the failure by the Company to make such filings (other than TD Cowen’s rights under Section 9 hereof) shall be to cease making sales under this Agreement until such amendment or supplement is filed); (iii) the Company will not file any amendment or supplement to the Registration Statement or Prospectus, other than documents incorporated by reference, relating to the Placement Shares or a security convertible into the Placement Shares unless a copy thereof has been submitted to TD Cowen within a reasonable period of time before the filing and TD Cowen has not reasonably objected thereto (</w:t>
      </w:r>
      <w:r>
        <w:rPr>
          <w:rFonts w:ascii="Times New Roman" w:hAnsi="Times New Roman"/>
          <w:i/>
          <w:sz w:val="20"/>
        </w:rPr>
        <w:t>provided, however</w:t>
      </w:r>
      <w:r>
        <w:rPr>
          <w:rFonts w:ascii="Times New Roman" w:hAnsi="Times New Roman"/>
          <w:sz w:val="20"/>
        </w:rPr>
        <w:t xml:space="preserve">, that the failure of TD Cowen to make such objection shall not relieve the Company of any obligation or liability hereunder, or affect TD Cowen’s right to rely on the representations and warranties made by the Company in this Agreement) and the Company will furnish to TD Cowen at the time of filing thereof a copy of any document that upon filing is deemed to be incorporated by reference into the Registration Statement or Prospectus, except for those documents available via EDGAR; (iv) the Company will cause each amendment or supplement to the Prospectus, other than documents incorporated by reference, to be filed with the Commission as required pursuant to the applicable paragraph of Rule 424(b) of the Securities Act, and (v) prior to the termination of this Agreement, the Company will notify TD Cowen if at any time the Registration Statement shall no longer be effective as a result of the passage of time pursuant to Rule 415 under the Securities Act or otherwise. Prior to the initial sale of any Placement Shares, the Company shall file the Prospectus Supplement pursuant to Rule 424(b) relating to the Placement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w:t>
      </w:r>
      <w:r>
        <w:rPr>
          <w:rFonts w:ascii="Times New Roman" w:hAnsi="Times New Roman"/>
          <w:sz w:val="20"/>
          <w:u w:val="single"/>
        </w:rPr>
        <w:t>Notice of Commission Stop Orders</w:t>
      </w:r>
      <w:r>
        <w:rPr>
          <w:rFonts w:ascii="Times New Roman" w:hAnsi="Times New Roman"/>
          <w:sz w:val="20"/>
        </w:rPr>
        <w:t xml:space="preserve">. The Company will advise TD Cowen,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sz w:val="20"/>
          <w:u w:val="single"/>
        </w:rPr>
        <w:t>Delivery of Prospectus; Subsequent Changes</w:t>
      </w:r>
      <w:r>
        <w:rPr>
          <w:rFonts w:ascii="Times New Roman" w:hAnsi="Times New Roman"/>
          <w:sz w:val="20"/>
        </w:rPr>
        <w:t xml:space="preserve">. During any period in which a Prospectus relating to the Placement Shares is required to be delivered by TD Cowen under the Securities Act with respect to a pending sale of the Placement Shares (including in circumstances where such requirement may be satisfied pursuant to Rule 172 under the Securities Act), the Company will use its best reasonable efforts to comply with all requirements imposed upon it by the Securities Act, as from time to time in force, and to file on or before their respective due dates all reports (taking into account any extensions available under the Exchange Act) and any definitive proxy or information statements required to be filed by the Company with the Commission pursuant to Sections 13(a), 13(c), 14, 15(d) or any other provision of or under the Exchange Act.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TD Cowen to suspend the offering of Placement Shares during such period and the Company will promptly amend or supplement the Registration Statement or Prospectus (at the expense of the Company) so as to correct such statement or omission or effect such compliance;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may delay the filing of any amendment or supplement if, in the judgment of the Company, it is in its best interests to do so. </w:t>
      </w:r>
    </w:p>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sz w:val="20"/>
          <w:u w:val="single"/>
        </w:rPr>
        <w:t>Listing of Placement Shares</w:t>
      </w:r>
      <w:r>
        <w:rPr>
          <w:rFonts w:ascii="Times New Roman" w:hAnsi="Times New Roman"/>
          <w:sz w:val="20"/>
        </w:rPr>
        <w:t xml:space="preserve">. During any period in which the Prospectus relating to the Placement Shares is required to be delivered by TD Cowen under the Securities Act with respect to a pending sale of the Placement Shares (including in circumstances where such requirement may be satisfied pursuant to Rule 172 under the Securities Act), the Company will use its commercially reasonable efforts to cause the Placement Shares to be listed on Nasdaq and to qualify the Placement Shares for sale under the securities laws of such jurisdictions as TD Cowen reasonably designates and to continue such qualifications in effect so long as required for the distribution of the Placement Shares; </w:t>
      </w:r>
      <w:r>
        <w:rPr>
          <w:rFonts w:ascii="Times New Roman" w:hAnsi="Times New Roman"/>
          <w:i/>
          <w:sz w:val="20"/>
        </w:rPr>
        <w:t>provided, however,</w:t>
      </w:r>
      <w:r>
        <w:rPr>
          <w:rFonts w:ascii="Times New Roman" w:hAnsi="Times New Roman"/>
          <w:sz w:val="20"/>
        </w:rPr>
        <w:t xml:space="preserve"> that the Company shall not be required in connection therewith to qualify as a foreign corporation or dealer in securities or file a general consent to service of process in any jurisdiction or be subject to taxation as a foreign corporation in any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 </w:t>
      </w:r>
      <w:r>
        <w:rPr>
          <w:rFonts w:ascii="Times New Roman" w:hAnsi="Times New Roman"/>
          <w:sz w:val="20"/>
          <w:u w:val="single"/>
        </w:rPr>
        <w:t>Delivery of Registration Statement and Prospectus</w:t>
      </w:r>
      <w:r>
        <w:rPr>
          <w:rFonts w:ascii="Times New Roman" w:hAnsi="Times New Roman"/>
          <w:sz w:val="20"/>
        </w:rPr>
        <w:t xml:space="preserve">. The Company will furnish to TD Cowen and its counsel (at the expense of the Company) copies of the Registration Statement, the Prospectus (including all documents incorporated by reference therein) and all amendments and supplements to the Registration Statement or Prospectus that are filed with the Commission during any period in which a Prospectus relating to the Placement Shares is required to be delivered under the Securities Act (including all documents filed with the Commission during such period that are deemed to be incorporated by reference therein), in each case as soon as reasonably practicable and in such quantities as TD Cowen may from time to time reasonably request and, at TD Cowen’s request, will also furnish copies of the Prospectus to each exchange or market on which sales of the Placement Shares may be made; </w:t>
      </w:r>
      <w:r>
        <w:rPr>
          <w:rFonts w:ascii="Times New Roman" w:hAnsi="Times New Roman"/>
          <w:i/>
          <w:sz w:val="20"/>
        </w:rPr>
        <w:t>provided, however,</w:t>
      </w:r>
      <w:r>
        <w:rPr>
          <w:rFonts w:ascii="Times New Roman" w:hAnsi="Times New Roman"/>
          <w:sz w:val="20"/>
        </w:rPr>
        <w:t xml:space="preserve"> that the Company shall not be required to furnish any document (other than the Prospectus) to TD Cowen to the extent such document is available on EDGAR. </w:t>
      </w:r>
    </w:p>
    <w:p>
      <w:pPr>
        <w:pStyle w:val="TextBody"/>
        <w:bidi w:val="0"/>
        <w:spacing w:before="120" w:after="0"/>
        <w:jc w:val="left"/>
        <w:rPr>
          <w:rFonts w:ascii="Times New Roman" w:hAnsi="Times New Roman"/>
          <w:sz w:val="20"/>
        </w:rPr>
      </w:pPr>
      <w:r>
        <w:rPr>
          <w:rFonts w:ascii="Times New Roman" w:hAnsi="Times New Roman"/>
          <w:sz w:val="20"/>
        </w:rPr>
        <w:t>(f) </w:t>
      </w:r>
      <w:r>
        <w:rPr>
          <w:rFonts w:ascii="Times New Roman" w:hAnsi="Times New Roman"/>
          <w:sz w:val="20"/>
          <w:u w:val="single"/>
        </w:rPr>
        <w:t>Earnings Statement</w:t>
      </w:r>
      <w:r>
        <w:rPr>
          <w:rFonts w:ascii="Times New Roman" w:hAnsi="Times New Roman"/>
          <w:sz w:val="20"/>
        </w:rPr>
        <w:t xml:space="preserve">. The Company will make generally available to its security holders as soon as practicable, but in any event not later than 15 months after the end of the Company’s current fiscal quarter, an earnings statement covering a 12-month period that satisfies the provisions of Section 11(a) and Rule 158 of the Securities Act; </w:t>
      </w:r>
      <w:r>
        <w:rPr>
          <w:rFonts w:ascii="Times New Roman" w:hAnsi="Times New Roman"/>
          <w:i/>
          <w:sz w:val="20"/>
        </w:rPr>
        <w:t>provided</w:t>
      </w:r>
      <w:r>
        <w:rPr>
          <w:rFonts w:ascii="Times New Roman" w:hAnsi="Times New Roman"/>
          <w:sz w:val="20"/>
        </w:rPr>
        <w:t xml:space="preserve">, however, that the Company will be deemed to have furnished any such statement to its securityholders to the extent it is filed on EDGAR. </w:t>
      </w:r>
    </w:p>
    <w:p>
      <w:pPr>
        <w:pStyle w:val="TextBody"/>
        <w:bidi w:val="0"/>
        <w:spacing w:before="120" w:after="0"/>
        <w:jc w:val="left"/>
        <w:rPr>
          <w:rFonts w:ascii="Times New Roman" w:hAnsi="Times New Roman"/>
          <w:sz w:val="20"/>
        </w:rPr>
      </w:pPr>
      <w:r>
        <w:rPr>
          <w:rFonts w:ascii="Times New Roman" w:hAnsi="Times New Roman"/>
          <w:sz w:val="20"/>
        </w:rPr>
        <w:t>(g) </w:t>
      </w:r>
      <w:r>
        <w:rPr>
          <w:rFonts w:ascii="Times New Roman" w:hAnsi="Times New Roman"/>
          <w:sz w:val="20"/>
          <w:u w:val="single"/>
        </w:rPr>
        <w:t>Expenses</w:t>
      </w:r>
      <w:r>
        <w:rPr>
          <w:rFonts w:ascii="Times New Roman" w:hAnsi="Times New Roman"/>
          <w:sz w:val="20"/>
        </w:rPr>
        <w:t xml:space="preserve">. The Company, whether or not the transactions contemplated hereunder are consummated or this Agreement is terminated, in accordance with the provisions of </w:t>
      </w:r>
      <w:r>
        <w:rPr>
          <w:rFonts w:ascii="Times New Roman" w:hAnsi="Times New Roman"/>
          <w:sz w:val="20"/>
          <w:u w:val="single"/>
        </w:rPr>
        <w:t>Section 11</w:t>
      </w:r>
      <w:r>
        <w:rPr>
          <w:rFonts w:ascii="Times New Roman" w:hAnsi="Times New Roman"/>
          <w:sz w:val="20"/>
        </w:rPr>
        <w:t xml:space="preserve"> hereunder, will pay the following expenses all incident to the performance of its obligations hereunder, including, but not limited to, expenses relating to (i) the preparation, printing and filing of the Registration Statement and each amendment and supplement thereto, of each Prospectus and of each amendment and supplement thereto, (ii) the preparation, issuance and delivery of the Placement Shares, (iii) the qualification of the Placement Shares under securities laws in accordance with the provisions of </w:t>
      </w:r>
      <w:r>
        <w:rPr>
          <w:rFonts w:ascii="Times New Roman" w:hAnsi="Times New Roman"/>
          <w:sz w:val="20"/>
          <w:u w:val="single"/>
        </w:rPr>
        <w:t>Section 7(d)</w:t>
      </w:r>
      <w:r>
        <w:rPr>
          <w:rFonts w:ascii="Times New Roman" w:hAnsi="Times New Roman"/>
          <w:sz w:val="20"/>
        </w:rPr>
        <w:t xml:space="preserve"> of this Agreement, including filing fees (provided, however, that any fees or disbursements of counsel for TD Cowen in connection therewith shall be paid by TD Cowen except as set forth in (vii) below), (iv) the printing and delivery to TD Cowen of copies of the Prospectus and any amendments or supplements thereto, and of this Agreement, (v) the fees and expenses incurred in connection with the listing or qualification of the Placement Shares for trading on Nasdaq, (vi) the filing fees and expenses, if any, of the Commission, (vii) the filing fees and associated legal expenses of TD Cowen’s outside counsel for filings with the FINRA Corporate Financing Department, such legal expense reimbursement not to exceed $15,000 and, (viii) the reasonable and documented fees and disbursements of TD Cowen’s counsel in amounts not to exceed (A) $75,000 in connection with execution of this Agreement and (B) $25,000 in connection with each Bring-Down Date (as defined below) with respect to which the Company is obligated to deliver a certificate pursuant to </w:t>
      </w:r>
      <w:r>
        <w:rPr>
          <w:rFonts w:ascii="Times New Roman" w:hAnsi="Times New Roman"/>
          <w:sz w:val="20"/>
          <w:u w:val="single"/>
        </w:rPr>
        <w:t>Section 7(m)</w:t>
      </w:r>
      <w:r>
        <w:rPr>
          <w:rFonts w:ascii="Times New Roman" w:hAnsi="Times New Roman"/>
          <w:sz w:val="20"/>
        </w:rPr>
        <w:t xml:space="preserve"> for which no waiver is applicable. </w:t>
      </w:r>
    </w:p>
    <w:p>
      <w:pPr>
        <w:pStyle w:val="TextBody"/>
        <w:bidi w:val="0"/>
        <w:spacing w:before="120" w:after="0"/>
        <w:jc w:val="left"/>
        <w:rPr>
          <w:rFonts w:ascii="Times New Roman" w:hAnsi="Times New Roman"/>
          <w:sz w:val="20"/>
        </w:rPr>
      </w:pPr>
      <w:r>
        <w:rPr>
          <w:rFonts w:ascii="Times New Roman" w:hAnsi="Times New Roman"/>
          <w:sz w:val="20"/>
        </w:rPr>
        <w:t>(h)</w:t>
      </w:r>
      <w:r>
        <w:rPr>
          <w:rFonts w:ascii="Times New Roman" w:hAnsi="Times New Roman"/>
          <w:sz w:val="20"/>
          <w:u w:val="single"/>
        </w:rPr>
        <w:t> Use of Proceeds</w:t>
      </w:r>
      <w:r>
        <w:rPr>
          <w:rFonts w:ascii="Times New Roman" w:hAnsi="Times New Roman"/>
          <w:sz w:val="20"/>
        </w:rPr>
        <w:t xml:space="preserve">. The Company will use the Net Proceeds as described in the Prospectus in the section entitled “Use of Proceeds.” </w:t>
      </w:r>
    </w:p>
    <w:p>
      <w:pPr>
        <w:pStyle w:val="TextBody"/>
        <w:bidi w:val="0"/>
        <w:spacing w:before="120" w:after="0"/>
        <w:jc w:val="left"/>
        <w:rPr>
          <w:rFonts w:ascii="Times New Roman" w:hAnsi="Times New Roman"/>
          <w:sz w:val="20"/>
        </w:rPr>
      </w:pPr>
      <w:r>
        <w:rPr>
          <w:rFonts w:ascii="Times New Roman" w:hAnsi="Times New Roman"/>
          <w:sz w:val="20"/>
        </w:rPr>
        <w:t>(i)</w:t>
      </w:r>
      <w:r>
        <w:rPr>
          <w:rFonts w:ascii="Times New Roman" w:hAnsi="Times New Roman"/>
          <w:sz w:val="20"/>
          <w:u w:val="single"/>
        </w:rPr>
        <w:t> Notice of Other Sales</w:t>
      </w:r>
      <w:r>
        <w:rPr>
          <w:rFonts w:ascii="Times New Roman" w:hAnsi="Times New Roman"/>
          <w:sz w:val="20"/>
        </w:rPr>
        <w:t xml:space="preserve">. During the pendency of any Placement Notice given hereunder, and for five (5) trading days following the termination of any Placement Notice given hereunder, the Company shall provide TD Cowen notice as promptly as reasonably possible before it offers to sell, contracts to sell, sells, grants any option to sell or otherwise disposes of any Ordinary Shares (other than Placement Shares offered pursuant to the provisions of this Agreement) or securities convertible into or exchangeable for Ordinary Shares, warrants or any rights to purchase or acquire Ordinary Shares; </w:t>
      </w:r>
      <w:r>
        <w:rPr>
          <w:rFonts w:ascii="Times New Roman" w:hAnsi="Times New Roman"/>
          <w:i/>
          <w:sz w:val="20"/>
        </w:rPr>
        <w:t>provided</w:t>
      </w:r>
      <w:r>
        <w:rPr>
          <w:rFonts w:ascii="Times New Roman" w:hAnsi="Times New Roman"/>
          <w:sz w:val="20"/>
        </w:rPr>
        <w:t xml:space="preserve">, that such notice shall not be required in connection with the (i)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issuance, grant or sale of Ordinary Shares, options to purchase Ordinary Shares, restricted share units, share awards, warrants, rights or other equity awards or Ordinary Shares issuable upon the exercise, conversion, settlement, exchange, redemption or vesting of options, restricted share units, share awards, warrants, rights or other equity awards pursuant to any share option, share bonus or other equity incentive or share purchase plan or arrangement described in the Prospectus or pursuant to any inducement awards in accordance with Nasdaq rules, (ii) the issuance of securities in connection with an acquisition, merger or sale or purchase of assets, (iii) the issuance or sale of Ordinary Shares pursuant to any dividend reinvestment plan that the Company may adopt from time to time provided the implementation of such is disclosed to TD Cowen in advance, (iv) the issuance or sale of any Ordinary Shares issuable upon the exchange, conversion or redemption of securities or the exercise of warrants, options or other rights in effect or outstanding or (v) the issuance or sale of Ordinary Shares, or securities convertible into or exercisable for Ordinary Shares, offered and sold in a private placement transaction to vendors, customers, strategic partners or potential strategic partners if the primary purpose is not a capital raising transaction and is otherwise conducted in a manner so as not to be integrated with the offering of Placement Shares hereby. </w:t>
      </w:r>
    </w:p>
    <w:p>
      <w:pPr>
        <w:pStyle w:val="TextBody"/>
        <w:bidi w:val="0"/>
        <w:spacing w:before="120" w:after="0"/>
        <w:jc w:val="left"/>
        <w:rPr>
          <w:rFonts w:ascii="Times New Roman" w:hAnsi="Times New Roman"/>
          <w:sz w:val="20"/>
        </w:rPr>
      </w:pPr>
      <w:r>
        <w:rPr>
          <w:rFonts w:ascii="Times New Roman" w:hAnsi="Times New Roman"/>
          <w:sz w:val="20"/>
        </w:rPr>
        <w:t>(j) </w:t>
      </w:r>
      <w:r>
        <w:rPr>
          <w:rFonts w:ascii="Times New Roman" w:hAnsi="Times New Roman"/>
          <w:sz w:val="20"/>
          <w:u w:val="single"/>
        </w:rPr>
        <w:t>Change of Circumstances; WKSI Status</w:t>
      </w:r>
      <w:r>
        <w:rPr>
          <w:rFonts w:ascii="Times New Roman" w:hAnsi="Times New Roman"/>
          <w:sz w:val="20"/>
        </w:rPr>
        <w:t xml:space="preserve">. The Company will, at any time during a fiscal quarter in which the Company intends to tender a Placement Notice or sell Placement Shares, advise TD Cowen promptly after it shall have received notice or obtained knowledge thereof, of any information or fact that would alter or affect in any material respect any opinion, certificate, letter or other document provided to TD Cowen pursuant to this Agreement. The Company agrees to notify TD Cowen promptly upon the Company ceasing to be a “well known seasoned issuer.” </w:t>
      </w:r>
    </w:p>
    <w:p>
      <w:pPr>
        <w:pStyle w:val="TextBody"/>
        <w:bidi w:val="0"/>
        <w:spacing w:before="120" w:after="0"/>
        <w:jc w:val="left"/>
        <w:rPr>
          <w:rFonts w:ascii="Times New Roman" w:hAnsi="Times New Roman"/>
          <w:sz w:val="20"/>
        </w:rPr>
      </w:pPr>
      <w:r>
        <w:rPr>
          <w:rFonts w:ascii="Times New Roman" w:hAnsi="Times New Roman"/>
          <w:sz w:val="20"/>
        </w:rPr>
        <w:t>(k) </w:t>
      </w:r>
      <w:r>
        <w:rPr>
          <w:rFonts w:ascii="Times New Roman" w:hAnsi="Times New Roman"/>
          <w:sz w:val="20"/>
          <w:u w:val="single"/>
        </w:rPr>
        <w:t>Due Diligence Cooperation</w:t>
      </w:r>
      <w:r>
        <w:rPr>
          <w:rFonts w:ascii="Times New Roman" w:hAnsi="Times New Roman"/>
          <w:sz w:val="20"/>
        </w:rPr>
        <w:t xml:space="preserve">. During the term of this Agreement, the Company will cooperate with any reasonable due diligence review conducted by TD Cowen or its agents in connection with the transactions contemplated hereby, including, without limitation, providing information and making available documents and senior corporate officers, during regular business hours and at the Company’s principal offices, as TD Cowen may reasonably request. </w:t>
      </w:r>
    </w:p>
    <w:p>
      <w:pPr>
        <w:pStyle w:val="TextBody"/>
        <w:bidi w:val="0"/>
        <w:spacing w:before="120" w:after="0"/>
        <w:jc w:val="left"/>
        <w:rPr>
          <w:rFonts w:ascii="Times New Roman" w:hAnsi="Times New Roman"/>
          <w:sz w:val="20"/>
        </w:rPr>
      </w:pPr>
      <w:r>
        <w:rPr>
          <w:rFonts w:ascii="Times New Roman" w:hAnsi="Times New Roman"/>
          <w:sz w:val="20"/>
        </w:rPr>
        <w:t>(l) </w:t>
      </w:r>
      <w:r>
        <w:rPr>
          <w:rFonts w:ascii="Times New Roman" w:hAnsi="Times New Roman"/>
          <w:sz w:val="20"/>
          <w:u w:val="single"/>
        </w:rPr>
        <w:t>Required Filings Relating to Placement of Placement Shares</w:t>
      </w:r>
      <w:r>
        <w:rPr>
          <w:rFonts w:ascii="Times New Roman" w:hAnsi="Times New Roman"/>
          <w:sz w:val="20"/>
        </w:rPr>
        <w:t xml:space="preserve">. The Company agrees that on or prior to such dates as the Securities Act shall require, the Company will (i) file a prospectus supplement with the Commission under the applicable paragraph of Rule 424(b) under the Securities Act and (ii) deliver such number of copies of each such prospectus supplement to each exchange or market on which such sales were effected as may be required by the rules or regulations of such exchange or market; </w:t>
      </w:r>
      <w:r>
        <w:rPr>
          <w:rFonts w:ascii="Times New Roman" w:hAnsi="Times New Roman"/>
          <w:i/>
          <w:sz w:val="20"/>
        </w:rPr>
        <w:t>provided</w:t>
      </w:r>
      <w:r>
        <w:rPr>
          <w:rFonts w:ascii="Times New Roman" w:hAnsi="Times New Roman"/>
          <w:sz w:val="20"/>
        </w:rPr>
        <w:t xml:space="preserve">, that, unless a prospectus supplement containing such information is required to be filed under the Securities Act, the requirement of this </w:t>
      </w:r>
      <w:r>
        <w:rPr>
          <w:rFonts w:ascii="Times New Roman" w:hAnsi="Times New Roman"/>
          <w:sz w:val="20"/>
          <w:u w:val="single"/>
        </w:rPr>
        <w:t>Section 7(l)</w:t>
      </w:r>
      <w:r>
        <w:rPr>
          <w:rFonts w:ascii="Times New Roman" w:hAnsi="Times New Roman"/>
          <w:sz w:val="20"/>
        </w:rPr>
        <w:t xml:space="preserve"> may be satisfied by Company’s inclusion in its Quarterly Reports on Form 10-Q or its Annual Report on Form 10-K, as applicable, the number of the Placement Shares sold through TD Cowen under this Agreement and the Net Proceeds to the Company from the sale of the Placement Shares pursuant to this Agreement during the relevant quarter or, in the case of an Annual Report on Form 10-K, during the fiscal year covered by such Annual Report and the fourth quarter of such fiscal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(m) </w:t>
      </w:r>
      <w:r>
        <w:rPr>
          <w:rFonts w:ascii="Times New Roman" w:hAnsi="Times New Roman"/>
          <w:sz w:val="20"/>
          <w:u w:val="single"/>
        </w:rPr>
        <w:t>Bring-Down Dates; Certificate</w:t>
      </w:r>
      <w:r>
        <w:rPr>
          <w:rFonts w:ascii="Times New Roman" w:hAnsi="Times New Roman"/>
          <w:sz w:val="20"/>
        </w:rPr>
        <w:t xml:space="preserve">. On or prior to the First Delivery Date and each time (i) the Company files the Prospectus relating to the Placement Shares or amends or supplements the Registration Statement or the Prospectus relating to the Placement Shares (other than a prospectus supplement filed in accordance with </w:t>
      </w:r>
      <w:r>
        <w:rPr>
          <w:rFonts w:ascii="Times New Roman" w:hAnsi="Times New Roman"/>
          <w:sz w:val="20"/>
          <w:u w:val="single"/>
        </w:rPr>
        <w:t>Section 7(l)</w:t>
      </w:r>
      <w:r>
        <w:rPr>
          <w:rFonts w:ascii="Times New Roman" w:hAnsi="Times New Roman"/>
          <w:sz w:val="20"/>
        </w:rPr>
        <w:t xml:space="preserve"> of this Agreement) by means of a post-effective amendment, sticker, or supplement but not by means of incorporation of document(s) by reference to the Registration Statement or the Prospectus relating to the Placement Shares; (ii) the Company files an Annual Report on Form 10-K under the Exchange Act; (iii) the Company files its Quarterly Reports on Form 10-Q under the Exchange Act; or (iv) the Company files a Current Report on Form 8-K containing amended financial information (other than an earnings release or other financial information “furnished” pursuant to Items 2.02 or 7.01 of Form 8-K) under the Exchange Act (each date of filing of one or more of the documents referred to in clauses (i) through (iv) shall be a “</w:t>
      </w:r>
      <w:r>
        <w:rPr>
          <w:rFonts w:ascii="Times New Roman" w:hAnsi="Times New Roman"/>
          <w:b/>
          <w:sz w:val="20"/>
          <w:u w:val="single"/>
        </w:rPr>
        <w:t>Bring-Down Date</w:t>
      </w:r>
      <w:r>
        <w:rPr>
          <w:rFonts w:ascii="Times New Roman" w:hAnsi="Times New Roman"/>
          <w:sz w:val="20"/>
        </w:rPr>
        <w:t xml:space="preserve">”); the Company shall furnish TD Cowen with a certificate, in the form attached hereto as </w:t>
      </w:r>
      <w:r>
        <w:rPr>
          <w:rFonts w:ascii="Times New Roman" w:hAnsi="Times New Roman"/>
          <w:sz w:val="20"/>
          <w:u w:val="single"/>
        </w:rPr>
        <w:t>Exhibit 7(m)</w:t>
      </w:r>
      <w:r>
        <w:rPr>
          <w:rFonts w:ascii="Times New Roman" w:hAnsi="Times New Roman"/>
          <w:sz w:val="20"/>
        </w:rPr>
        <w:t xml:space="preserve"> within one (1) Trading Day of any Bring-Down Date if requested by TD Cowen. The requirement to provide a certificate under this </w:t>
      </w:r>
      <w:r>
        <w:rPr>
          <w:rFonts w:ascii="Times New Roman" w:hAnsi="Times New Roman"/>
          <w:sz w:val="20"/>
          <w:u w:val="single"/>
        </w:rPr>
        <w:t>Section 7(m)</w:t>
      </w:r>
      <w:r>
        <w:rPr>
          <w:rFonts w:ascii="Times New Roman" w:hAnsi="Times New Roman"/>
          <w:sz w:val="20"/>
        </w:rPr>
        <w:t xml:space="preserve"> shall be waived for any Bring-Down Date occurring at a time at which no Placement Notice is pending, which waiver shall continue until the earlier to occur of the date the Company delivers a Placement Notice hereunder (which for such calendar quarter shall be considered a Bring-Down Date) and the next occurring Bring-Down Date. Notwithstanding the foregoing, if the Company subsequently decides to sell Placement Shares following a Bring-Down Date when the Company relied on such waiver and did not provide TD Cowen with a certificate under this </w:t>
      </w:r>
      <w:r>
        <w:rPr>
          <w:rFonts w:ascii="Times New Roman" w:hAnsi="Times New Roman"/>
          <w:sz w:val="20"/>
          <w:u w:val="single"/>
        </w:rPr>
        <w:t>Section 7(m)</w:t>
      </w:r>
      <w:r>
        <w:rPr>
          <w:rFonts w:ascii="Times New Roman" w:hAnsi="Times New Roman"/>
          <w:sz w:val="20"/>
        </w:rPr>
        <w:t xml:space="preserve">, then before the Company delivers the Placement Notice or TD Cowen sells any Placement Shares, the Company shall provide TD Cowen with a certificate, in the form attached hereto as </w:t>
      </w:r>
      <w:r>
        <w:rPr>
          <w:rFonts w:ascii="Times New Roman" w:hAnsi="Times New Roman"/>
          <w:sz w:val="20"/>
          <w:u w:val="single"/>
        </w:rPr>
        <w:t>Exhibit 7(m)</w:t>
      </w:r>
      <w:r>
        <w:rPr>
          <w:rFonts w:ascii="Times New Roman" w:hAnsi="Times New Roman"/>
          <w:sz w:val="20"/>
        </w:rPr>
        <w:t xml:space="preserve">, dated the date of the Placement Notice. </w:t>
      </w:r>
    </w:p>
    <w:p>
      <w:pPr>
        <w:pStyle w:val="TextBody"/>
        <w:bidi w:val="0"/>
        <w:spacing w:before="120" w:after="0"/>
        <w:jc w:val="left"/>
        <w:rPr>
          <w:rFonts w:ascii="Times New Roman" w:hAnsi="Times New Roman"/>
          <w:sz w:val="20"/>
        </w:rPr>
      </w:pPr>
      <w:r>
        <w:rPr>
          <w:rFonts w:ascii="Times New Roman" w:hAnsi="Times New Roman"/>
          <w:sz w:val="20"/>
        </w:rPr>
        <w:t>(n) </w:t>
      </w:r>
      <w:r>
        <w:rPr>
          <w:rFonts w:ascii="Times New Roman" w:hAnsi="Times New Roman"/>
          <w:sz w:val="20"/>
          <w:u w:val="single"/>
        </w:rPr>
        <w:t>Legal Opinions</w:t>
      </w:r>
      <w:r>
        <w:rPr>
          <w:rFonts w:ascii="Times New Roman" w:hAnsi="Times New Roman"/>
          <w:sz w:val="20"/>
        </w:rPr>
        <w:t xml:space="preserve">. On or prior to the First Delivery Date and within one (1) Trading Day of each Bring-Down Date with respect to which the Company is obligated to deliver a certificate in the form attached hereto as </w:t>
      </w:r>
      <w:r>
        <w:rPr>
          <w:rFonts w:ascii="Times New Roman" w:hAnsi="Times New Roman"/>
          <w:sz w:val="20"/>
          <w:u w:val="single"/>
        </w:rPr>
        <w:t>Exhibit 7(m)</w:t>
      </w:r>
      <w:r>
        <w:rPr>
          <w:rFonts w:ascii="Times New Roman" w:hAnsi="Times New Roman"/>
          <w:sz w:val="20"/>
        </w:rPr>
        <w:t xml:space="preserve"> for which no waiver is applicable, the Company shall cause to be furnished to TD Cowen (i) a written opinion and negative assurance letter of Gibson, Dunn &amp; Crutcher LLP, counsel to the Company (“</w:t>
      </w:r>
      <w:r>
        <w:rPr>
          <w:rFonts w:ascii="Times New Roman" w:hAnsi="Times New Roman"/>
          <w:b/>
          <w:sz w:val="20"/>
          <w:u w:val="single"/>
        </w:rPr>
        <w:t>Company Counsel</w:t>
      </w:r>
      <w:r>
        <w:rPr>
          <w:rFonts w:ascii="Times New Roman" w:hAnsi="Times New Roman"/>
          <w:sz w:val="20"/>
        </w:rPr>
        <w:t>”), (ii) the written opinion of Walkers (Cayman) LLP, counsel to the Company as to certain matters of Cayman Islands law (“</w:t>
      </w:r>
      <w:r>
        <w:rPr>
          <w:rFonts w:ascii="Times New Roman" w:hAnsi="Times New Roman"/>
          <w:b/>
          <w:sz w:val="20"/>
          <w:u w:val="single"/>
        </w:rPr>
        <w:t>Cayman Company Counsel</w:t>
      </w:r>
      <w:r>
        <w:rPr>
          <w:rFonts w:ascii="Times New Roman" w:hAnsi="Times New Roman"/>
          <w:sz w:val="20"/>
        </w:rPr>
        <w:t>”), and (iii) a written opinion of Goodwin Procter LLP (“</w:t>
      </w:r>
      <w:r>
        <w:rPr>
          <w:rFonts w:ascii="Times New Roman" w:hAnsi="Times New Roman"/>
          <w:b/>
          <w:sz w:val="20"/>
          <w:u w:val="single"/>
        </w:rPr>
        <w:t>Company IP Counsel</w:t>
      </w:r>
      <w:r>
        <w:rPr>
          <w:rFonts w:ascii="Times New Roman" w:hAnsi="Times New Roman"/>
          <w:sz w:val="20"/>
        </w:rPr>
        <w:t xml:space="preserve">”), or, in each case, other counsel satisfactory to TD Cowen, in form and substance satisfactory to TD Cowen and its counsel, dated the date that the opinion or negative assurance letter, as applicable, is required to be delivered, modified, as necessary, to relate to the Registration Statement and the Prospectus as then amended or supplemented;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in lieu of such opinions or negative assurance letter for subsequent Bring-Down Dates, Company Counsel, Cayman Company Counsel and Company IP Counsel, as applicable, may furnish TD Cowen with a letter (a “</w:t>
      </w:r>
      <w:r>
        <w:rPr>
          <w:rFonts w:ascii="Times New Roman" w:hAnsi="Times New Roman"/>
          <w:b/>
          <w:sz w:val="20"/>
          <w:u w:val="single"/>
        </w:rPr>
        <w:t>Reliance Letter</w:t>
      </w:r>
      <w:r>
        <w:rPr>
          <w:rFonts w:ascii="Times New Roman" w:hAnsi="Times New Roman"/>
          <w:sz w:val="20"/>
        </w:rPr>
        <w:t xml:space="preserve">”) to the effect that TD Cowen may rely on a prior opinion or negative assurance letter, as applicable, delivered under this </w:t>
      </w:r>
      <w:r>
        <w:rPr>
          <w:rFonts w:ascii="Times New Roman" w:hAnsi="Times New Roman"/>
          <w:sz w:val="20"/>
          <w:u w:val="single"/>
        </w:rPr>
        <w:t>Section 7(n)</w:t>
      </w:r>
      <w:r>
        <w:rPr>
          <w:rFonts w:ascii="Times New Roman" w:hAnsi="Times New Roman"/>
          <w:sz w:val="20"/>
        </w:rPr>
        <w:t xml:space="preserve"> to the same extent as if it were dated the date of such letter (except that statements in such prior opinion or negative assurance letter shall be deemed to relate to the Registration Statement and the Prospectus as amended or supplemented at such Bring-Down Date). </w:t>
      </w:r>
    </w:p>
    <w:p>
      <w:pPr>
        <w:pStyle w:val="TextBody"/>
        <w:bidi w:val="0"/>
        <w:spacing w:before="120" w:after="0"/>
        <w:jc w:val="left"/>
        <w:rPr>
          <w:rFonts w:ascii="Times New Roman" w:hAnsi="Times New Roman"/>
          <w:sz w:val="20"/>
        </w:rPr>
      </w:pPr>
      <w:r>
        <w:rPr>
          <w:rFonts w:ascii="Times New Roman" w:hAnsi="Times New Roman"/>
          <w:sz w:val="20"/>
        </w:rPr>
        <w:t>(o) </w:t>
      </w:r>
      <w:r>
        <w:rPr>
          <w:rFonts w:ascii="Times New Roman" w:hAnsi="Times New Roman"/>
          <w:sz w:val="20"/>
          <w:u w:val="single"/>
        </w:rPr>
        <w:t>Comfort Letter</w:t>
      </w:r>
      <w:r>
        <w:rPr>
          <w:rFonts w:ascii="Times New Roman" w:hAnsi="Times New Roman"/>
          <w:sz w:val="20"/>
        </w:rPr>
        <w:t xml:space="preserve">. On or prior to the First Delivery Date and within one (1) Trading Day of each Bring-Down Date with respect to which the Company is obligated to deliver a certificate in the form attached hereto as </w:t>
      </w:r>
      <w:r>
        <w:rPr>
          <w:rFonts w:ascii="Times New Roman" w:hAnsi="Times New Roman"/>
          <w:sz w:val="20"/>
          <w:u w:val="single"/>
        </w:rPr>
        <w:t>Exhibit 7(m)</w:t>
      </w:r>
      <w:r>
        <w:rPr>
          <w:rFonts w:ascii="Times New Roman" w:hAnsi="Times New Roman"/>
          <w:sz w:val="20"/>
        </w:rPr>
        <w:t xml:space="preserve"> for which no waiver is applicable, the Company shall cause its independent accountants to furnish TD Cowen a letter (the </w:t>
      </w:r>
      <w:r>
        <w:rPr>
          <w:rFonts w:ascii="Times New Roman" w:hAnsi="Times New Roman"/>
          <w:sz w:val="20"/>
          <w:u w:val="single"/>
        </w:rPr>
        <w:t>“</w:t>
      </w:r>
      <w:r>
        <w:rPr>
          <w:rFonts w:ascii="Times New Roman" w:hAnsi="Times New Roman"/>
          <w:b/>
          <w:sz w:val="20"/>
          <w:u w:val="single"/>
        </w:rPr>
        <w:t>Comfort Letter</w:t>
      </w:r>
      <w:r>
        <w:rPr>
          <w:rFonts w:ascii="Times New Roman" w:hAnsi="Times New Roman"/>
          <w:sz w:val="20"/>
        </w:rPr>
        <w:t xml:space="preserve">”), dated the date the Comfort Letter is delivered, in form and substance satisfactory to TD Cowen, (i) confirming that they are an independent registered public accounting firm within the meaning of the Securities Act and the Public Company Accounting Oversight Board, (ii) stating, as of such date, the conclusions and findings of such firm with respect to the financial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and other matters ordinarily covered by accountants’ “comfort letters” to TD Cowen in connection with registered public offerings (the first such letter, the “</w:t>
      </w:r>
      <w:r>
        <w:rPr>
          <w:rFonts w:ascii="Times New Roman" w:hAnsi="Times New Roman"/>
          <w:b/>
          <w:sz w:val="20"/>
          <w:u w:val="single"/>
        </w:rPr>
        <w:t>Initial Comfort Letter</w:t>
      </w:r>
      <w:r>
        <w:rPr>
          <w:rFonts w:ascii="Times New Roman" w:hAnsi="Times New Roman"/>
          <w:sz w:val="20"/>
        </w:rPr>
        <w:t xml:space="preserve">”)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 </w:t>
      </w:r>
    </w:p>
    <w:p>
      <w:pPr>
        <w:pStyle w:val="TextBody"/>
        <w:bidi w:val="0"/>
        <w:spacing w:before="120" w:after="0"/>
        <w:jc w:val="left"/>
        <w:rPr>
          <w:rFonts w:ascii="Times New Roman" w:hAnsi="Times New Roman"/>
          <w:sz w:val="20"/>
        </w:rPr>
      </w:pPr>
      <w:r>
        <w:rPr>
          <w:rFonts w:ascii="Times New Roman" w:hAnsi="Times New Roman"/>
          <w:sz w:val="20"/>
        </w:rPr>
        <w:t>(p) </w:t>
      </w:r>
      <w:r>
        <w:rPr>
          <w:rFonts w:ascii="Times New Roman" w:hAnsi="Times New Roman"/>
          <w:sz w:val="20"/>
          <w:u w:val="single"/>
        </w:rPr>
        <w:t>Chief Financial Officer’s Certificate</w:t>
      </w:r>
      <w:r>
        <w:rPr>
          <w:rFonts w:ascii="Times New Roman" w:hAnsi="Times New Roman"/>
          <w:sz w:val="20"/>
        </w:rPr>
        <w:t xml:space="preserve">. On or prior to the First Delivery Date and within one (1) Trading Day of each Bring-Down Date with respect to which the Company is obligated to deliver a certificate in the form attached hereto as </w:t>
      </w:r>
      <w:r>
        <w:rPr>
          <w:rFonts w:ascii="Times New Roman" w:hAnsi="Times New Roman"/>
          <w:sz w:val="20"/>
          <w:u w:val="single"/>
        </w:rPr>
        <w:t>Exhibit 7(m)</w:t>
      </w:r>
      <w:r>
        <w:rPr>
          <w:rFonts w:ascii="Times New Roman" w:hAnsi="Times New Roman"/>
          <w:sz w:val="20"/>
        </w:rPr>
        <w:t xml:space="preserve"> for which no waiver is applicable, the Company shall have delivered to TD Cowen a certificate executed by the Chief Financial Officer of the Company (“</w:t>
      </w:r>
      <w:r>
        <w:rPr>
          <w:rFonts w:ascii="Times New Roman" w:hAnsi="Times New Roman"/>
          <w:b/>
          <w:sz w:val="20"/>
          <w:u w:val="single"/>
        </w:rPr>
        <w:t>CFO Certificate</w:t>
      </w:r>
      <w:r>
        <w:rPr>
          <w:rFonts w:ascii="Times New Roman" w:hAnsi="Times New Roman"/>
          <w:sz w:val="20"/>
        </w:rPr>
        <w:t xml:space="preserve">”), dated as of such date, in form and substance satisfactory to TD Cowen. </w:t>
      </w:r>
    </w:p>
    <w:p>
      <w:pPr>
        <w:pStyle w:val="TextBody"/>
        <w:bidi w:val="0"/>
        <w:spacing w:before="120" w:after="0"/>
        <w:jc w:val="left"/>
        <w:rPr>
          <w:rFonts w:ascii="Times New Roman" w:hAnsi="Times New Roman"/>
          <w:sz w:val="20"/>
        </w:rPr>
      </w:pPr>
      <w:r>
        <w:rPr>
          <w:rFonts w:ascii="Times New Roman" w:hAnsi="Times New Roman"/>
          <w:sz w:val="20"/>
        </w:rPr>
        <w:t>(q)</w:t>
      </w:r>
      <w:r>
        <w:rPr>
          <w:rFonts w:ascii="Times New Roman" w:hAnsi="Times New Roman"/>
          <w:sz w:val="20"/>
          <w:u w:val="single"/>
        </w:rPr>
        <w:t> Market Activities</w:t>
      </w:r>
      <w:r>
        <w:rPr>
          <w:rFonts w:ascii="Times New Roman" w:hAnsi="Times New Roman"/>
          <w:sz w:val="20"/>
        </w:rPr>
        <w:t xml:space="preserve">. The Company will not, directly or indirectly, (i) take any action designed to cause or result in, or that constitutes or might reasonably be expected to constitute, the stabilization or manipulation of the price of any security of the Company to facilitate the sale or resale of the Placement Shares or (ii) sell, bid for, or purchase the Ordinary Shares to be issued and sold pursuant to this Agreement, or pay anyone any compensation for soliciting purchases of the Placement Shares other than TD Cowen; provided, however, that the Company may bid for and purchase shares of its Ordinary Shares in accordance with Rule 10b-18 under the Exchange Act. </w:t>
      </w:r>
    </w:p>
    <w:p>
      <w:pPr>
        <w:pStyle w:val="TextBody"/>
        <w:bidi w:val="0"/>
        <w:spacing w:before="120" w:after="0"/>
        <w:jc w:val="left"/>
        <w:rPr>
          <w:rFonts w:ascii="Times New Roman" w:hAnsi="Times New Roman"/>
          <w:sz w:val="20"/>
        </w:rPr>
      </w:pPr>
      <w:r>
        <w:rPr>
          <w:rFonts w:ascii="Times New Roman" w:hAnsi="Times New Roman"/>
          <w:sz w:val="20"/>
        </w:rPr>
        <w:t>(r) </w:t>
      </w:r>
      <w:r>
        <w:rPr>
          <w:rFonts w:ascii="Times New Roman" w:hAnsi="Times New Roman"/>
          <w:sz w:val="20"/>
          <w:u w:val="single"/>
        </w:rPr>
        <w:t>Insurance</w:t>
      </w:r>
      <w:r>
        <w:rPr>
          <w:rFonts w:ascii="Times New Roman" w:hAnsi="Times New Roman"/>
          <w:sz w:val="20"/>
        </w:rPr>
        <w:t xml:space="preserve">. The Company and its Subsidiaries shall maintain, or cause to be maintained, insurance in such amounts and covering such risks as is reasonable and customary for the business for which it is engaged. </w:t>
      </w:r>
    </w:p>
    <w:p>
      <w:pPr>
        <w:pStyle w:val="TextBody"/>
        <w:bidi w:val="0"/>
        <w:spacing w:before="120" w:after="0"/>
        <w:jc w:val="left"/>
        <w:rPr>
          <w:rFonts w:ascii="Times New Roman" w:hAnsi="Times New Roman"/>
          <w:sz w:val="20"/>
        </w:rPr>
      </w:pPr>
      <w:r>
        <w:rPr>
          <w:rFonts w:ascii="Times New Roman" w:hAnsi="Times New Roman"/>
          <w:sz w:val="20"/>
        </w:rPr>
        <w:t>(s) </w:t>
      </w:r>
      <w:r>
        <w:rPr>
          <w:rFonts w:ascii="Times New Roman" w:hAnsi="Times New Roman"/>
          <w:sz w:val="20"/>
          <w:u w:val="single"/>
        </w:rPr>
        <w:t>Compliance with Laws</w:t>
      </w:r>
      <w:r>
        <w:rPr>
          <w:rFonts w:ascii="Times New Roman" w:hAnsi="Times New Roman"/>
          <w:sz w:val="20"/>
        </w:rPr>
        <w:t xml:space="preserve">. The Company and each of its Subsidiaries shall maintain, or cause to be maintained, all material environmental permits, licenses and other authorizations required by federal, state and local law in order to conduct their businesses as described in the Prospectus, and the Company and each of its Subsidiaries shall conduct their businesses, or cause their businesses to be conducted, in substantial compliance with such permits, licenses and authorizations and with applicable environmental laws, except where the failure to maintain or be in compliance with such permits, licenses and authorizations would not reasonably be expected to result in a Material Adverse Change. </w:t>
      </w:r>
    </w:p>
    <w:p>
      <w:pPr>
        <w:pStyle w:val="TextBody"/>
        <w:bidi w:val="0"/>
        <w:spacing w:before="120" w:after="0"/>
        <w:jc w:val="left"/>
        <w:rPr>
          <w:rFonts w:ascii="Times New Roman" w:hAnsi="Times New Roman"/>
          <w:sz w:val="20"/>
        </w:rPr>
      </w:pPr>
      <w:r>
        <w:rPr>
          <w:rFonts w:ascii="Times New Roman" w:hAnsi="Times New Roman"/>
          <w:sz w:val="20"/>
        </w:rPr>
        <w:t>(t) </w:t>
      </w:r>
      <w:r>
        <w:rPr>
          <w:rFonts w:ascii="Times New Roman" w:hAnsi="Times New Roman"/>
          <w:sz w:val="20"/>
          <w:u w:val="single"/>
        </w:rPr>
        <w:t>Investment Company Act</w:t>
      </w:r>
      <w:r>
        <w:rPr>
          <w:rFonts w:ascii="Times New Roman" w:hAnsi="Times New Roman"/>
          <w:sz w:val="20"/>
        </w:rPr>
        <w:t xml:space="preserve">. The Company will conduct its affairs in such a manner so as to reasonably ensure that neither it nor its Subsidiaries will be or become, at any time prior to the termination of this Agreement, an “investment company,” as such term is defined in the Investment Company Act, assuming no change in the Commission’s current interpretation as to entities that are not considered an investment company. </w:t>
      </w:r>
    </w:p>
    <w:p>
      <w:pPr>
        <w:pStyle w:val="TextBody"/>
        <w:bidi w:val="0"/>
        <w:spacing w:before="120" w:after="0"/>
        <w:jc w:val="left"/>
        <w:rPr>
          <w:rFonts w:ascii="Times New Roman" w:hAnsi="Times New Roman"/>
          <w:sz w:val="20"/>
        </w:rPr>
      </w:pPr>
      <w:r>
        <w:rPr>
          <w:rFonts w:ascii="Times New Roman" w:hAnsi="Times New Roman"/>
          <w:sz w:val="20"/>
        </w:rPr>
        <w:t>(u) </w:t>
      </w:r>
      <w:r>
        <w:rPr>
          <w:rFonts w:ascii="Times New Roman" w:hAnsi="Times New Roman"/>
          <w:sz w:val="20"/>
          <w:u w:val="single"/>
        </w:rPr>
        <w:t>Securities Act and Exchange Act</w:t>
      </w:r>
      <w:r>
        <w:rPr>
          <w:rFonts w:ascii="Times New Roman" w:hAnsi="Times New Roman"/>
          <w:sz w:val="20"/>
        </w:rPr>
        <w:t xml:space="preserve">. The Company will use its reasonable best efforts to comply with all requirements imposed upon it by the Securities Act and the Exchange Act as from time to time in force, so far as necessary to permit the continuance of sales of, or dealings in, the Placement Shares as contemplated by the provisions hereof and the Prospectus. </w:t>
      </w:r>
    </w:p>
    <w:p>
      <w:pPr>
        <w:pStyle w:val="TextBody"/>
        <w:bidi w:val="0"/>
        <w:spacing w:before="120" w:after="0"/>
        <w:jc w:val="left"/>
        <w:rPr>
          <w:rFonts w:ascii="Times New Roman" w:hAnsi="Times New Roman"/>
          <w:sz w:val="20"/>
        </w:rPr>
      </w:pPr>
      <w:r>
        <w:rPr>
          <w:rFonts w:ascii="Times New Roman" w:hAnsi="Times New Roman"/>
          <w:sz w:val="20"/>
        </w:rPr>
        <w:t>(v) </w:t>
      </w:r>
      <w:r>
        <w:rPr>
          <w:rFonts w:ascii="Times New Roman" w:hAnsi="Times New Roman"/>
          <w:sz w:val="20"/>
          <w:u w:val="single"/>
        </w:rPr>
        <w:t>No Offer to Sell</w:t>
      </w:r>
      <w:r>
        <w:rPr>
          <w:rFonts w:ascii="Times New Roman" w:hAnsi="Times New Roman"/>
          <w:sz w:val="20"/>
        </w:rPr>
        <w:t xml:space="preserve">. Other than the Prospectus or a Permitted Free Writing Prospectus, neither TD Cowen nor the Company (including its agents and representatives, other than TD Cowen in its capacity as such) will make, use, prepare, authorize, approve or refer to any written communication (as defined in Rule 405 under the Securities Act), required to be filed with the Commission, that constitutes an offer to sell or solicitation of an offer to buy Ordinary Shares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 </w:t>
      </w:r>
      <w:r>
        <w:rPr>
          <w:rFonts w:ascii="Times New Roman" w:hAnsi="Times New Roman"/>
          <w:sz w:val="20"/>
          <w:u w:val="single"/>
        </w:rPr>
        <w:t>Sarbanes-Oxley Act</w:t>
      </w:r>
      <w:r>
        <w:rPr>
          <w:rFonts w:ascii="Times New Roman" w:hAnsi="Times New Roman"/>
          <w:sz w:val="20"/>
        </w:rPr>
        <w:t xml:space="preserve">. The Company and its Subsidiaries will use their reasonable best efforts to comply with all effective applicable provisions of the Sarbanes-Oxley Act. </w:t>
      </w:r>
    </w:p>
    <w:p>
      <w:pPr>
        <w:pStyle w:val="TextBody"/>
        <w:bidi w:val="0"/>
        <w:spacing w:before="120" w:after="0"/>
        <w:jc w:val="left"/>
        <w:rPr>
          <w:rFonts w:ascii="Times New Roman" w:hAnsi="Times New Roman"/>
          <w:sz w:val="20"/>
        </w:rPr>
      </w:pPr>
      <w:r>
        <w:rPr>
          <w:rFonts w:ascii="Times New Roman" w:hAnsi="Times New Roman"/>
          <w:sz w:val="20"/>
        </w:rPr>
        <w:t>(x)</w:t>
      </w:r>
      <w:r>
        <w:rPr>
          <w:rFonts w:ascii="Times New Roman" w:hAnsi="Times New Roman"/>
          <w:sz w:val="20"/>
          <w:u w:val="single"/>
        </w:rPr>
        <w:t> Affirmation</w:t>
      </w:r>
      <w:r>
        <w:rPr>
          <w:rFonts w:ascii="Times New Roman" w:hAnsi="Times New Roman"/>
          <w:sz w:val="20"/>
        </w:rPr>
        <w:t xml:space="preserve">. Each Placement Notice delivered by the Company to TD Cowen shall be deemed to be (i) an affirmation that the representations, warranties and agreements of the Company herein contained and contained in any certificate delivered to TD Cowen pursuant hereto are true and correct at the time of delivery of such Placement Notice, and (ii) an undertaking that such representations, warranties and agreements will be true and correct on any applicable Time of Sale and Settlement Date, as though made at and as of each such time (it being understood that such representations, warranties and agreements shall relate to the Registration Statement and the Prospectus as amended and supplemented to the time of such Placement Notice acceptance). </w:t>
      </w:r>
    </w:p>
    <w:p>
      <w:pPr>
        <w:pStyle w:val="TextBody"/>
        <w:bidi w:val="0"/>
        <w:spacing w:before="120" w:after="0"/>
        <w:jc w:val="left"/>
        <w:rPr>
          <w:rFonts w:ascii="Times New Roman" w:hAnsi="Times New Roman"/>
          <w:sz w:val="20"/>
        </w:rPr>
      </w:pPr>
      <w:r>
        <w:rPr>
          <w:rFonts w:ascii="Times New Roman" w:hAnsi="Times New Roman"/>
          <w:sz w:val="20"/>
        </w:rPr>
        <w:t>8. </w:t>
      </w:r>
      <w:r>
        <w:rPr>
          <w:rFonts w:ascii="Times New Roman" w:hAnsi="Times New Roman"/>
          <w:sz w:val="20"/>
          <w:u w:val="single"/>
        </w:rPr>
        <w:t>Conditions to TD Cowen’s Obligations</w:t>
      </w:r>
      <w:r>
        <w:rPr>
          <w:rFonts w:ascii="Times New Roman" w:hAnsi="Times New Roman"/>
          <w:sz w:val="20"/>
        </w:rPr>
        <w:t xml:space="preserve">. The obligations of TD Cowen hereunder with respect to a Placement Notice will be subject to the continuing accuracy and completeness of the representations and warranties made by the Company herein, to the due performance by the Company of its obligations hereunder and thereunder, to the completion by TD Cowen of a due diligence review satisfactory to TD Cowen in its reasonable judgment, and to the continuing satisfaction (or waiver by TD Cowen in its sole discretion) of the following additional conditions: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Registration Statement Effective</w:t>
      </w:r>
      <w:r>
        <w:rPr>
          <w:rFonts w:ascii="Times New Roman" w:hAnsi="Times New Roman"/>
          <w:sz w:val="20"/>
        </w:rPr>
        <w:t xml:space="preserve">. The Registration Statement shall be effective and shall be available for (i) all sales of Placement Shares issued pursuant to all prior Placement Notices and (ii) the sale of all Placement Shares contemplated to be issued pursuant to any Placement Notice.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sz w:val="20"/>
          <w:u w:val="single"/>
        </w:rPr>
        <w:t>No Material Notices</w:t>
      </w:r>
      <w:r>
        <w:rPr>
          <w:rFonts w:ascii="Times New Roman" w:hAnsi="Times New Roman"/>
          <w:sz w:val="20"/>
        </w:rPr>
        <w:t xml:space="preserve">. None of the following events shall have occurred and be continuing: (i) receipt by the Company or any of its Subsidiaries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Shares for sale in any jurisdiction or the initiation or threatening of any proceeding for such purpose; or (iv) the occurrence of any event that makes any material statement made in the Registration Statement or the Prospectus or any material document incorporated or deemed to be incorporated therein by reference untrue in any material respect or that requires the making of any changes in the Registration Statement, related Prospectus or such documents so that, in the case of the Registration Statement, it will not contain any materially untrue statement of a material fact or omit to state any material fact required to be stated therein or necessary to make the statements therein not misleading and, that in the case of the Prospectus, it will not contain any materially untrue statement of a material fact or omit to state any material fact required to be stated therein or necessary to make the statements therein, in the light of the circumstances under which they were made, not misleading.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w:t>
      </w:r>
      <w:r>
        <w:rPr>
          <w:rFonts w:ascii="Times New Roman" w:hAnsi="Times New Roman"/>
          <w:sz w:val="20"/>
          <w:u w:val="single"/>
        </w:rPr>
        <w:t>No Misstatement or Material Omission</w:t>
      </w:r>
      <w:r>
        <w:rPr>
          <w:rFonts w:ascii="Times New Roman" w:hAnsi="Times New Roman"/>
          <w:sz w:val="20"/>
        </w:rPr>
        <w:t xml:space="preserve">. TD Cowen shall not have advised the Company that the Registration Statement or Prospectus, or any amendment or supplement thereto, contains an untrue statement of fact that in TD Cowen’s reasonable opinion is material, or omits to state a fact that in TD Cowen’s opinion is material and is required to be stated therein or is necessary to make the statements therein not misleading. </w:t>
      </w:r>
    </w:p>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sz w:val="20"/>
          <w:u w:val="single"/>
        </w:rPr>
        <w:t>Material Changes</w:t>
      </w:r>
      <w:r>
        <w:rPr>
          <w:rFonts w:ascii="Times New Roman" w:hAnsi="Times New Roman"/>
          <w:sz w:val="20"/>
        </w:rPr>
        <w:t xml:space="preserve">. Except as contemplated in the Prospectus, or disclosed in the Company’s reports filed with the Commission, there shall not have been any material adverse change, on a consolidated basis, in the authorized share capital of the Company or any Material Adverse Change or any development that could reasonably be expected to result in a Material Adverse Change, or any downgrading in or withdrawal of the rating assigned to any of the Company’s securities (other than asset backed securities) by any rating organization or a public announcement by any rating organization that it has under surveillance or review its rating of any of the Company’s securities (other than asset backed securities), the effect of which, in the case of any such action by a rating organization described above, in the reasonable judgment of TD Cowen (without relieving the Company of any obligation or liability it may otherwise have), is so material as to make it impracticable or inadvisable to proceed with the offering of the Placement Shares on the terms and in the manner contemplated in the Prospectus. </w:t>
      </w:r>
    </w:p>
    <w:p>
      <w:pPr>
        <w:pStyle w:val="TextBody"/>
        <w:bidi w:val="0"/>
        <w:spacing w:before="120" w:after="0"/>
        <w:jc w:val="left"/>
        <w:rPr>
          <w:rFonts w:ascii="Times New Roman" w:hAnsi="Times New Roman"/>
          <w:sz w:val="20"/>
        </w:rPr>
      </w:pPr>
      <w:r>
        <w:rPr>
          <w:rFonts w:ascii="Times New Roman" w:hAnsi="Times New Roman"/>
          <w:sz w:val="20"/>
        </w:rPr>
        <w:t>(e) </w:t>
      </w:r>
      <w:r>
        <w:rPr>
          <w:rFonts w:ascii="Times New Roman" w:hAnsi="Times New Roman"/>
          <w:sz w:val="20"/>
          <w:u w:val="single"/>
        </w:rPr>
        <w:t>Company Counsel Legal Opinions</w:t>
      </w:r>
      <w:r>
        <w:rPr>
          <w:rFonts w:ascii="Times New Roman" w:hAnsi="Times New Roman"/>
          <w:sz w:val="20"/>
        </w:rPr>
        <w:t xml:space="preserve">. TD Cowen shall have received the opinions and negative assurance letters, as applicable, of Company Counsel, Cayman Company Counsel and Company IP Counsel required to be delivered pursuant to </w:t>
      </w:r>
      <w:r>
        <w:rPr>
          <w:rFonts w:ascii="Times New Roman" w:hAnsi="Times New Roman"/>
          <w:sz w:val="20"/>
          <w:u w:val="single"/>
        </w:rPr>
        <w:t>Section 7(n)</w:t>
      </w:r>
      <w:r>
        <w:rPr>
          <w:rFonts w:ascii="Times New Roman" w:hAnsi="Times New Roman"/>
          <w:sz w:val="20"/>
        </w:rPr>
        <w:t xml:space="preserve"> on or before the date on which such delivery of such opinions or negative assurance letters are required pursuant to </w:t>
      </w:r>
      <w:r>
        <w:rPr>
          <w:rFonts w:ascii="Times New Roman" w:hAnsi="Times New Roman"/>
          <w:sz w:val="20"/>
          <w:u w:val="single"/>
        </w:rPr>
        <w:t>Section 7(n)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(f) </w:t>
      </w:r>
      <w:r>
        <w:rPr>
          <w:rFonts w:ascii="Times New Roman" w:hAnsi="Times New Roman"/>
          <w:sz w:val="20"/>
          <w:u w:val="single"/>
        </w:rPr>
        <w:t>TD Cowen Counsel Legal Opinion</w:t>
      </w:r>
      <w:r>
        <w:rPr>
          <w:rFonts w:ascii="Times New Roman" w:hAnsi="Times New Roman"/>
          <w:sz w:val="20"/>
        </w:rPr>
        <w:t xml:space="preserve">. TD Cowen shall have received from Mintz, Levin, Cohn, Ferris, Glovsky &amp; Popeo, P.C., counsel for TD Cowen, such opinion or opinions and negative assurance letters, on or before the date on which the delivery of the Company Counsel and Cayman Company Counsel legal opinions is required pursuant to </w:t>
      </w:r>
      <w:r>
        <w:rPr>
          <w:rFonts w:ascii="Times New Roman" w:hAnsi="Times New Roman"/>
          <w:sz w:val="20"/>
          <w:u w:val="single"/>
        </w:rPr>
        <w:t>Section 7(n)</w:t>
      </w:r>
      <w:r>
        <w:rPr>
          <w:rFonts w:ascii="Times New Roman" w:hAnsi="Times New Roman"/>
          <w:sz w:val="20"/>
        </w:rPr>
        <w:t xml:space="preserve">, with respect to such matters as TD Cowen may reasonably require, and the Company shall have furnished to such counsel such documents as they request for enabling them to pass upon such matters. </w:t>
      </w:r>
    </w:p>
    <w:p>
      <w:pPr>
        <w:pStyle w:val="TextBody"/>
        <w:bidi w:val="0"/>
        <w:spacing w:before="120" w:after="0"/>
        <w:jc w:val="left"/>
        <w:rPr>
          <w:rFonts w:ascii="Times New Roman" w:hAnsi="Times New Roman"/>
          <w:sz w:val="20"/>
        </w:rPr>
      </w:pPr>
      <w:r>
        <w:rPr>
          <w:rFonts w:ascii="Times New Roman" w:hAnsi="Times New Roman"/>
          <w:sz w:val="20"/>
        </w:rPr>
        <w:t>(g) </w:t>
      </w:r>
      <w:r>
        <w:rPr>
          <w:rFonts w:ascii="Times New Roman" w:hAnsi="Times New Roman"/>
          <w:sz w:val="20"/>
          <w:u w:val="single"/>
        </w:rPr>
        <w:t>Comfort Letter</w:t>
      </w:r>
      <w:r>
        <w:rPr>
          <w:rFonts w:ascii="Times New Roman" w:hAnsi="Times New Roman"/>
          <w:sz w:val="20"/>
        </w:rPr>
        <w:t xml:space="preserve">. TD Cowen shall have received the Comfort Letter required to be delivered pursuant to </w:t>
      </w:r>
      <w:r>
        <w:rPr>
          <w:rFonts w:ascii="Times New Roman" w:hAnsi="Times New Roman"/>
          <w:sz w:val="20"/>
          <w:u w:val="single"/>
        </w:rPr>
        <w:t>Section 7(o)</w:t>
      </w:r>
      <w:r>
        <w:rPr>
          <w:rFonts w:ascii="Times New Roman" w:hAnsi="Times New Roman"/>
          <w:sz w:val="20"/>
        </w:rPr>
        <w:t xml:space="preserve"> on or before the date on which such delivery of such Comfort Letter is required pursuant to </w:t>
      </w:r>
      <w:r>
        <w:rPr>
          <w:rFonts w:ascii="Times New Roman" w:hAnsi="Times New Roman"/>
          <w:sz w:val="20"/>
          <w:u w:val="single"/>
        </w:rPr>
        <w:t>Section 7(o)</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(h) </w:t>
      </w:r>
      <w:r>
        <w:rPr>
          <w:rFonts w:ascii="Times New Roman" w:hAnsi="Times New Roman"/>
          <w:sz w:val="20"/>
          <w:u w:val="single"/>
        </w:rPr>
        <w:t>Representation Certificate</w:t>
      </w:r>
      <w:r>
        <w:rPr>
          <w:rFonts w:ascii="Times New Roman" w:hAnsi="Times New Roman"/>
          <w:sz w:val="20"/>
        </w:rPr>
        <w:t xml:space="preserve">. TD Cowen shall have received the certificate required to be delivered pursuant to </w:t>
      </w:r>
      <w:r>
        <w:rPr>
          <w:rFonts w:ascii="Times New Roman" w:hAnsi="Times New Roman"/>
          <w:sz w:val="20"/>
          <w:u w:val="single"/>
        </w:rPr>
        <w:t>Section 7(m)</w:t>
      </w:r>
      <w:r>
        <w:rPr>
          <w:rFonts w:ascii="Times New Roman" w:hAnsi="Times New Roman"/>
          <w:sz w:val="20"/>
        </w:rPr>
        <w:t xml:space="preserve"> on or before the date on which delivery of such certificate is required pursuant to </w:t>
      </w:r>
      <w:r>
        <w:rPr>
          <w:rFonts w:ascii="Times New Roman" w:hAnsi="Times New Roman"/>
          <w:sz w:val="20"/>
          <w:u w:val="single"/>
        </w:rPr>
        <w:t>Section 7(m)</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sz w:val="20"/>
          <w:u w:val="single"/>
        </w:rPr>
        <w:t>Secretary’s Certificate</w:t>
      </w:r>
      <w:r>
        <w:rPr>
          <w:rFonts w:ascii="Times New Roman" w:hAnsi="Times New Roman"/>
          <w:sz w:val="20"/>
        </w:rPr>
        <w:t xml:space="preserve">. On or prior to the First Delivery Date, TD Cowen shall have received a certificate, signed on behalf of the Company by its corporate secretary, in form and substance satisfactory to TD Cowen and its counsel.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(j) </w:t>
      </w:r>
      <w:r>
        <w:rPr>
          <w:rFonts w:ascii="Times New Roman" w:hAnsi="Times New Roman"/>
          <w:sz w:val="20"/>
          <w:u w:val="single"/>
        </w:rPr>
        <w:t>CFO Certificate</w:t>
      </w:r>
      <w:r>
        <w:rPr>
          <w:rFonts w:ascii="Times New Roman" w:hAnsi="Times New Roman"/>
          <w:sz w:val="20"/>
        </w:rPr>
        <w:t xml:space="preserve">. TD Cowen shall have received the CFO Certificate required to be delivered pursuant to Section 7(p) on or before the date on which delivery of such certificate is required pursuant to Section 7(p).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No Suspension</w:t>
      </w:r>
      <w:r>
        <w:rPr>
          <w:rFonts w:ascii="Times New Roman" w:hAnsi="Times New Roman"/>
          <w:sz w:val="20"/>
        </w:rPr>
        <w:t xml:space="preserve">. Trading in the Ordinary Shares shall not have been suspended on Nasdaq. </w:t>
      </w:r>
    </w:p>
    <w:p>
      <w:pPr>
        <w:pStyle w:val="TextBody"/>
        <w:bidi w:val="0"/>
        <w:spacing w:before="120" w:after="0"/>
        <w:jc w:val="left"/>
        <w:rPr>
          <w:rFonts w:ascii="Times New Roman" w:hAnsi="Times New Roman"/>
          <w:sz w:val="20"/>
        </w:rPr>
      </w:pPr>
      <w:r>
        <w:rPr>
          <w:rFonts w:ascii="Times New Roman" w:hAnsi="Times New Roman"/>
          <w:sz w:val="20"/>
        </w:rPr>
        <w:t>(l) </w:t>
      </w:r>
      <w:r>
        <w:rPr>
          <w:rFonts w:ascii="Times New Roman" w:hAnsi="Times New Roman"/>
          <w:sz w:val="20"/>
          <w:u w:val="single"/>
        </w:rPr>
        <w:t>Other Materials</w:t>
      </w:r>
      <w:r>
        <w:rPr>
          <w:rFonts w:ascii="Times New Roman" w:hAnsi="Times New Roman"/>
          <w:sz w:val="20"/>
        </w:rPr>
        <w:t xml:space="preserve">. On each date on which the Company is required to deliver a certificate pursuant to </w:t>
      </w:r>
      <w:r>
        <w:rPr>
          <w:rFonts w:ascii="Times New Roman" w:hAnsi="Times New Roman"/>
          <w:sz w:val="20"/>
          <w:u w:val="single"/>
        </w:rPr>
        <w:t>Section 7(m)</w:t>
      </w:r>
      <w:r>
        <w:rPr>
          <w:rFonts w:ascii="Times New Roman" w:hAnsi="Times New Roman"/>
          <w:sz w:val="20"/>
        </w:rPr>
        <w:t xml:space="preserve">, the Company shall have furnished to TD Cowen such appropriate further information, certificates and documents as TD Cowen may have reasonably requested. All such opinions, certificates, letters and other documents shall have been in compliance with the provisions hereof. The Company will furnish TD Cowen with such conformed copies of such opinions, certificates, letters and other documents as TD Cowen shall have reasonably requested. </w:t>
      </w:r>
    </w:p>
    <w:p>
      <w:pPr>
        <w:pStyle w:val="TextBody"/>
        <w:bidi w:val="0"/>
        <w:spacing w:before="120" w:after="0"/>
        <w:jc w:val="left"/>
        <w:rPr>
          <w:rFonts w:ascii="Times New Roman" w:hAnsi="Times New Roman"/>
          <w:sz w:val="20"/>
        </w:rPr>
      </w:pPr>
      <w:r>
        <w:rPr>
          <w:rFonts w:ascii="Times New Roman" w:hAnsi="Times New Roman"/>
          <w:sz w:val="20"/>
        </w:rPr>
        <w:t>(m) </w:t>
      </w:r>
      <w:r>
        <w:rPr>
          <w:rFonts w:ascii="Times New Roman" w:hAnsi="Times New Roman"/>
          <w:sz w:val="20"/>
          <w:u w:val="single"/>
        </w:rPr>
        <w:t>Securities Act Filings Made</w:t>
      </w:r>
      <w:r>
        <w:rPr>
          <w:rFonts w:ascii="Times New Roman" w:hAnsi="Times New Roman"/>
          <w:sz w:val="20"/>
        </w:rPr>
        <w:t xml:space="preserve">. All filings with the Commission required by Rule 424 under the Securities Act to have been filed prior to the issuance of any Placement Notice hereunder shall have been made within the applicable time period prescribed for such filing by Rule 424. </w:t>
      </w:r>
    </w:p>
    <w:p>
      <w:pPr>
        <w:pStyle w:val="TextBody"/>
        <w:bidi w:val="0"/>
        <w:spacing w:before="120" w:after="0"/>
        <w:jc w:val="left"/>
        <w:rPr>
          <w:rFonts w:ascii="Times New Roman" w:hAnsi="Times New Roman"/>
          <w:sz w:val="20"/>
        </w:rPr>
      </w:pPr>
      <w:r>
        <w:rPr>
          <w:rFonts w:ascii="Times New Roman" w:hAnsi="Times New Roman"/>
          <w:sz w:val="20"/>
        </w:rPr>
        <w:t>(n) </w:t>
      </w:r>
      <w:r>
        <w:rPr>
          <w:rFonts w:ascii="Times New Roman" w:hAnsi="Times New Roman"/>
          <w:sz w:val="20"/>
          <w:u w:val="single"/>
        </w:rPr>
        <w:t>Approval for Listing</w:t>
      </w:r>
      <w:r>
        <w:rPr>
          <w:rFonts w:ascii="Times New Roman" w:hAnsi="Times New Roman"/>
          <w:sz w:val="20"/>
        </w:rPr>
        <w:t xml:space="preserve">. The Placement Shares shall either have been (i) approved for listing on Nasdaq, subject only to notice of issuance, or (ii) the Company shall have filed an application for listing of the Placement Shares on Nasdaq at, or prior to, the issuance of any Placement Notice. </w:t>
      </w:r>
    </w:p>
    <w:p>
      <w:pPr>
        <w:pStyle w:val="TextBody"/>
        <w:bidi w:val="0"/>
        <w:spacing w:before="120" w:after="0"/>
        <w:jc w:val="left"/>
        <w:rPr>
          <w:rFonts w:ascii="Times New Roman" w:hAnsi="Times New Roman"/>
          <w:sz w:val="20"/>
        </w:rPr>
      </w:pPr>
      <w:r>
        <w:rPr>
          <w:rFonts w:ascii="Times New Roman" w:hAnsi="Times New Roman"/>
          <w:sz w:val="20"/>
        </w:rPr>
        <w:t>(o) </w:t>
      </w:r>
      <w:r>
        <w:rPr>
          <w:rFonts w:ascii="Times New Roman" w:hAnsi="Times New Roman"/>
          <w:sz w:val="20"/>
          <w:u w:val="single"/>
        </w:rPr>
        <w:t>No Termination Event</w:t>
      </w:r>
      <w:r>
        <w:rPr>
          <w:rFonts w:ascii="Times New Roman" w:hAnsi="Times New Roman"/>
          <w:sz w:val="20"/>
        </w:rPr>
        <w:t xml:space="preserve">. There shall not have occurred any event that would permit TD Cowen to terminate this Agreement pursuant to </w:t>
      </w:r>
      <w:r>
        <w:rPr>
          <w:rFonts w:ascii="Times New Roman" w:hAnsi="Times New Roman"/>
          <w:sz w:val="20"/>
          <w:u w:val="single"/>
        </w:rPr>
        <w:t>Section 11(a)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9. </w:t>
      </w:r>
      <w:r>
        <w:rPr>
          <w:rFonts w:ascii="Times New Roman" w:hAnsi="Times New Roman"/>
          <w:sz w:val="20"/>
          <w:u w:val="single"/>
        </w:rPr>
        <w:t>Indemnification and Contribution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Company Indemnification</w:t>
      </w:r>
      <w:r>
        <w:rPr>
          <w:rFonts w:ascii="Times New Roman" w:hAnsi="Times New Roman"/>
          <w:sz w:val="20"/>
        </w:rPr>
        <w:t xml:space="preserve">. The Company agrees to indemnify and hold harmless TD Cowen, its affiliates, and each of their respective directors, officers, partners, employees and agents of TD Cowen and each person, if any, who (i) controls TD Cowen within the meaning of Section 15 of the Securities Act or Section 20 of the Exchange Act, or (ii) is controlled by or is under common control with TD Cowen from and against any and all losses, claims, liabilities, expenses and damages (including, but not limited to, any and all reasonable and documented investigative, legal and other expenses incurred in connection with, and any and all amounts paid in settlement (in accordance with </w:t>
      </w:r>
      <w:r>
        <w:rPr>
          <w:rFonts w:ascii="Times New Roman" w:hAnsi="Times New Roman"/>
          <w:sz w:val="20"/>
          <w:u w:val="single"/>
        </w:rPr>
        <w:t>Section 9(c)</w:t>
      </w:r>
      <w:r>
        <w:rPr>
          <w:rFonts w:ascii="Times New Roman" w:hAnsi="Times New Roman"/>
          <w:sz w:val="20"/>
        </w:rPr>
        <w:t xml:space="preserve">) of, any action, suit or proceeding between any of the indemnified parties and any indemnifying parties or between any indemnified party and any third party, or otherwise, or any claim asserted), to which TD Cowen, or any such person, may become subject under the Securities Act, the Exchange Act or other federal or state statutory law or regulation, at common law or otherwise, insofar as such losses, claims, liabilities, expenses or damages arise out of or are based, directly or indirectly, on (x) any untrue statement or alleged untrue statement of a material fact contained in the Registration Statement or the Prospectus or any amendment or supplement to the Registration Statement or the Prospectus or in any free writing prospectus or in any application or other document executed by or on behalf of the Company or based on written information furnished by or on behalf of the Company filed in any jurisdiction in order to qualify the Ordinary Shares under the securities laws thereof or filed with the Commission, (y) the omission or alleged omission to state in any such document a material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fact required to be stated in it or necessary to make the statements in it not misleading or (z) any breach by any of the indemnifying parties of any of their respective representations, warranties and agreements contained in this Agreement;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this indemnity agreement shall not apply to the extent that such loss, claim, liability, expense or damage arises from the sale of the Placement Shares pursuant to this Agreement and is caused directly or indirectly by an untrue statement or omission made in reliance upon and in conformity with solely Agent’s Information. “Agent’s Information” means, solely, the following information in the Prospectus: the third sentence of the eighth paragraph and the tenth paragraph under the caption “Plan of Distribution” in the Prospectus. This indemnity agreement will be in addition to any liability that the Company might otherwise have.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sz w:val="20"/>
          <w:u w:val="single"/>
        </w:rPr>
        <w:t>TD Cowen Indemnification</w:t>
      </w:r>
      <w:r>
        <w:rPr>
          <w:rFonts w:ascii="Times New Roman" w:hAnsi="Times New Roman"/>
          <w:sz w:val="20"/>
        </w:rPr>
        <w:t xml:space="preserve">. TD Cowen agrees to indemnify and hold harmless the Company and its directors and each officer of the Company that signed the Registration Statement, and each person, if any, who (i) controls the Company within the meaning of Section 15 of the Securities Act or Section 20 of the Exchange Act or (ii) is controlled by or is under common control with the Company against any and all loss, liability, claim, damage and expense described in the indemnity contained in </w:t>
      </w:r>
      <w:r>
        <w:rPr>
          <w:rFonts w:ascii="Times New Roman" w:hAnsi="Times New Roman"/>
          <w:sz w:val="20"/>
          <w:u w:val="single"/>
        </w:rPr>
        <w:t>Section 9(a)</w:t>
      </w:r>
      <w:r>
        <w:rPr>
          <w:rFonts w:ascii="Times New Roman" w:hAnsi="Times New Roman"/>
          <w:sz w:val="20"/>
        </w:rPr>
        <w:t xml:space="preserve">, as incurred, but only with respect to untrue statements or omissions, or alleged untrue statements or omissions, made in the Registration Statement (or any amendments thereto) or the Prospectus (or any amendment or supplement thereto) in reliance upon and in conformity with the Agent’s Information.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sz w:val="20"/>
          <w:u w:val="single"/>
        </w:rPr>
        <w:t>Procedure</w:t>
      </w:r>
      <w:r>
        <w:rPr>
          <w:rFonts w:ascii="Times New Roman" w:hAnsi="Times New Roman"/>
          <w:sz w:val="20"/>
        </w:rPr>
        <w:t xml:space="preserve">. Any party that proposes to assert the right to be indemnified under this </w:t>
      </w:r>
      <w:r>
        <w:rPr>
          <w:rFonts w:ascii="Times New Roman" w:hAnsi="Times New Roman"/>
          <w:sz w:val="20"/>
          <w:u w:val="single"/>
        </w:rPr>
        <w:t xml:space="preserve">Section 9 </w:t>
      </w:r>
      <w:r>
        <w:rPr>
          <w:rFonts w:ascii="Times New Roman" w:hAnsi="Times New Roman"/>
          <w:sz w:val="20"/>
        </w:rPr>
        <w:t xml:space="preserve">will, promptly after receipt of written notice of commencement of any action against such party in respect of which a claim is to be made against an indemnifying party or parties under this </w:t>
      </w:r>
      <w:r>
        <w:rPr>
          <w:rFonts w:ascii="Times New Roman" w:hAnsi="Times New Roman"/>
          <w:sz w:val="20"/>
          <w:u w:val="single"/>
        </w:rPr>
        <w:t>Section 9</w:t>
      </w:r>
      <w:r>
        <w:rPr>
          <w:rFonts w:ascii="Times New Roman" w:hAnsi="Times New Roman"/>
          <w:sz w:val="20"/>
        </w:rPr>
        <w:t xml:space="preserve">, notify in writing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w:t>
      </w:r>
      <w:r>
        <w:rPr>
          <w:rFonts w:ascii="Times New Roman" w:hAnsi="Times New Roman"/>
          <w:sz w:val="20"/>
          <w:u w:val="single"/>
        </w:rPr>
        <w:t>Section 9</w:t>
      </w:r>
      <w:r>
        <w:rPr>
          <w:rFonts w:ascii="Times New Roman" w:hAnsi="Times New Roman"/>
          <w:sz w:val="20"/>
        </w:rPr>
        <w:t xml:space="preserve"> and (ii) any liability that it may have to any indemnified party under the foregoing provision of this </w:t>
      </w:r>
      <w:r>
        <w:rPr>
          <w:rFonts w:ascii="Times New Roman" w:hAnsi="Times New Roman"/>
          <w:sz w:val="20"/>
          <w:u w:val="single"/>
        </w:rPr>
        <w:t>Section 9</w:t>
      </w:r>
      <w:r>
        <w:rPr>
          <w:rFonts w:ascii="Times New Roman" w:hAnsi="Times New Roman"/>
          <w:sz w:val="20"/>
        </w:rPr>
        <w:t xml:space="preserve">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legal or other expenses except as provided below and except for the reasonable and documented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party will not have the right to direct the defense of such action on behalf of the indemnified party) or (4) the indemnifying party has not in fact employed counsel to assume the defense of such action within a reasonable time after receiving notice of the commencement of the action, in each of which cases the reasonable and documented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and documented fees, disbursements and other charges of more than one separate firm admitted to practice in such jurisdiction at any one time for all such indemnified party or parties. All such fees, disbursements and other charges will be reimbursed by the indemnifying party promptly after receipt of a written invoice relating to such fees, disbursements and other charges.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w:t>
      </w:r>
      <w:r>
        <w:rPr>
          <w:rFonts w:ascii="Times New Roman" w:hAnsi="Times New Roman"/>
          <w:sz w:val="20"/>
          <w:u w:val="single"/>
        </w:rPr>
        <w:t>Section 9</w:t>
      </w:r>
      <w:r>
        <w:rPr>
          <w:rFonts w:ascii="Times New Roman" w:hAnsi="Times New Roman"/>
          <w:sz w:val="20"/>
        </w:rPr>
        <w:t xml:space="preserve"> (whether or not any indemnified party is a party thereto), unless such settlement, compromise or consent (1) includes an unconditional release of each indemnified party from all liability arising or that may arise out of such claim, action or proceeding and (2) does not include a statement as to or an admission of fault, culpability or a failure to act by or on behalf of any indemnified party. </w:t>
      </w:r>
    </w:p>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sz w:val="20"/>
          <w:u w:val="single"/>
        </w:rPr>
        <w:t>Contribution</w:t>
      </w:r>
      <w:r>
        <w:rPr>
          <w:rFonts w:ascii="Times New Roman" w:hAnsi="Times New Roman"/>
          <w:sz w:val="20"/>
        </w:rPr>
        <w:t xml:space="preserve">. In order to provide for just and equitable contribution in circumstances in which the indemnification provided for in the foregoing paragraphs of this </w:t>
      </w:r>
      <w:r>
        <w:rPr>
          <w:rFonts w:ascii="Times New Roman" w:hAnsi="Times New Roman"/>
          <w:sz w:val="20"/>
          <w:u w:val="single"/>
        </w:rPr>
        <w:t>Section 9</w:t>
      </w:r>
      <w:r>
        <w:rPr>
          <w:rFonts w:ascii="Times New Roman" w:hAnsi="Times New Roman"/>
          <w:sz w:val="20"/>
        </w:rPr>
        <w:t xml:space="preserve"> is applicable in accordance with its terms but for any reason is held to be unavailable from the Company or TD Cowen, the Company and TD Cowen will contribute to the total losses, claims, liabilities, expenses and damages (including any investigative, legal and other expenses reasonably incurred in connection with, and any amount paid in settlement of, any action, suit or proceeding or any claim asserted, but after deducting any contribution received by the Company from persons other than TD Cowen, such as persons who control the Company within the meaning of the Securities Act, officers of the Company who signed the Registration Statement and directors of the Company, who also may be liable for contribution) to which the Company and TD Cowen may be subject in such proportion as shall be appropriate to reflect the relative benefits received by the Company on the one hand and TD Cowen on the other hand. The relative benefits received by the Company on the one hand and TD Cowen on the other hand shall be deemed to be in the same proportion as the total Net Proceeds from the sale of the Placement Shares (before deducting expenses) received by the Company bear to the total compensation received by TD Cowen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TD Cowen, on the other hand,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TD Cowen, the intent of the parties and their relative knowledge, access to information and opportunity to correct or prevent such statement or omission. The Company and TD Cowen agree that it would not be just and equitable if contributions pursuant to this </w:t>
      </w:r>
      <w:r>
        <w:rPr>
          <w:rFonts w:ascii="Times New Roman" w:hAnsi="Times New Roman"/>
          <w:sz w:val="20"/>
          <w:u w:val="single"/>
        </w:rPr>
        <w:t xml:space="preserve">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9(d)</w:t>
      </w:r>
      <w:r>
        <w:rPr>
          <w:rFonts w:ascii="Times New Roman" w:hAnsi="Times New Roman"/>
          <w:sz w:val="20"/>
        </w:rPr>
        <w:t xml:space="preserve">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w:t>
      </w:r>
      <w:r>
        <w:rPr>
          <w:rFonts w:ascii="Times New Roman" w:hAnsi="Times New Roman"/>
          <w:sz w:val="20"/>
          <w:u w:val="single"/>
        </w:rPr>
        <w:t>Section 9(d)</w:t>
      </w:r>
      <w:r>
        <w:rPr>
          <w:rFonts w:ascii="Times New Roman" w:hAnsi="Times New Roman"/>
          <w:sz w:val="20"/>
        </w:rPr>
        <w:t xml:space="preserve"> shall be deemed to include, for the purpose of this </w:t>
      </w:r>
      <w:r>
        <w:rPr>
          <w:rFonts w:ascii="Times New Roman" w:hAnsi="Times New Roman"/>
          <w:sz w:val="20"/>
          <w:u w:val="single"/>
        </w:rPr>
        <w:t>Section 9(d)</w:t>
      </w:r>
      <w:r>
        <w:rPr>
          <w:rFonts w:ascii="Times New Roman" w:hAnsi="Times New Roman"/>
          <w:sz w:val="20"/>
        </w:rPr>
        <w:t xml:space="preserve">, any reasonable and documented legal or other expenses reasonably incurred by such indemnified party in connection with investigating or defending any such action or claim to the extent consistent with </w:t>
      </w:r>
      <w:r>
        <w:rPr>
          <w:rFonts w:ascii="Times New Roman" w:hAnsi="Times New Roman"/>
          <w:sz w:val="20"/>
          <w:u w:val="single"/>
        </w:rPr>
        <w:t>Section 9(c)</w:t>
      </w:r>
      <w:r>
        <w:rPr>
          <w:rFonts w:ascii="Times New Roman" w:hAnsi="Times New Roman"/>
          <w:sz w:val="20"/>
        </w:rPr>
        <w:t xml:space="preserve"> hereof. Notwithstanding the foregoing provisions of this </w:t>
      </w:r>
      <w:r>
        <w:rPr>
          <w:rFonts w:ascii="Times New Roman" w:hAnsi="Times New Roman"/>
          <w:sz w:val="20"/>
          <w:u w:val="single"/>
        </w:rPr>
        <w:t>Section 9(d)</w:t>
      </w:r>
      <w:r>
        <w:rPr>
          <w:rFonts w:ascii="Times New Roman" w:hAnsi="Times New Roman"/>
          <w:sz w:val="20"/>
        </w:rPr>
        <w:t xml:space="preserve">, TD Cowen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found guilty of such fraudulent misrepresentation. For purposes of this </w:t>
      </w:r>
      <w:r>
        <w:rPr>
          <w:rFonts w:ascii="Times New Roman" w:hAnsi="Times New Roman"/>
          <w:sz w:val="20"/>
          <w:u w:val="single"/>
        </w:rPr>
        <w:t>Section 9(d)</w:t>
      </w:r>
      <w:r>
        <w:rPr>
          <w:rFonts w:ascii="Times New Roman" w:hAnsi="Times New Roman"/>
          <w:sz w:val="20"/>
        </w:rPr>
        <w:t xml:space="preserve">, any person who controls a party to this Agreement within the meaning of the Securities Act, and any officers, directors, partners, employees or agents of TD Cowen, will have the same rights to contribution as that party, and each director and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w:t>
      </w:r>
      <w:r>
        <w:rPr>
          <w:rFonts w:ascii="Times New Roman" w:hAnsi="Times New Roman"/>
          <w:sz w:val="20"/>
          <w:u w:val="single"/>
        </w:rPr>
        <w:t>Section 9(d)</w:t>
      </w:r>
      <w:r>
        <w:rPr>
          <w:rFonts w:ascii="Times New Roman" w:hAnsi="Times New Roman"/>
          <w:sz w:val="20"/>
        </w:rPr>
        <w:t xml:space="preserve">, will notify any such party or parties from whom contribution may be sought, but the omission to so notify will not relieve that party or parties from whom contribution may be sought from any other obligation it or they may have under this </w:t>
      </w:r>
      <w:r>
        <w:rPr>
          <w:rFonts w:ascii="Times New Roman" w:hAnsi="Times New Roman"/>
          <w:sz w:val="20"/>
          <w:u w:val="single"/>
        </w:rPr>
        <w:t>Section 9(d)</w:t>
      </w:r>
      <w:r>
        <w:rPr>
          <w:rFonts w:ascii="Times New Roman" w:hAnsi="Times New Roman"/>
          <w:sz w:val="20"/>
        </w:rPr>
        <w:t xml:space="preserve"> except to the extent that the failure to so notify such other party materially prejudiced the substantive rights or defenses of the party from whom contribution is sought. Except for a settlement entered into pursuant to the last sentence of </w:t>
      </w:r>
      <w:r>
        <w:rPr>
          <w:rFonts w:ascii="Times New Roman" w:hAnsi="Times New Roman"/>
          <w:sz w:val="20"/>
          <w:u w:val="single"/>
        </w:rPr>
        <w:t>Section 9(c)</w:t>
      </w:r>
      <w:r>
        <w:rPr>
          <w:rFonts w:ascii="Times New Roman" w:hAnsi="Times New Roman"/>
          <w:sz w:val="20"/>
        </w:rPr>
        <w:t xml:space="preserve"> hereof, no party will be liable for contribution with respect to any action or claim settled without its written consent if such consent is required pursuant to </w:t>
      </w:r>
      <w:r>
        <w:rPr>
          <w:rFonts w:ascii="Times New Roman" w:hAnsi="Times New Roman"/>
          <w:sz w:val="20"/>
          <w:u w:val="single"/>
        </w:rPr>
        <w:t>Section 9(c)</w:t>
      </w:r>
      <w:r>
        <w:rPr>
          <w:rFonts w:ascii="Times New Roman" w:hAnsi="Times New Roman"/>
          <w:sz w:val="20"/>
        </w:rPr>
        <w:t xml:space="preserve"> hereof. </w:t>
      </w:r>
    </w:p>
    <w:p>
      <w:pPr>
        <w:pStyle w:val="TextBody"/>
        <w:bidi w:val="0"/>
        <w:spacing w:before="120" w:after="0"/>
        <w:jc w:val="left"/>
        <w:rPr>
          <w:rFonts w:ascii="Times New Roman" w:hAnsi="Times New Roman"/>
          <w:sz w:val="20"/>
        </w:rPr>
      </w:pPr>
      <w:r>
        <w:rPr>
          <w:rFonts w:ascii="Times New Roman" w:hAnsi="Times New Roman"/>
          <w:sz w:val="20"/>
        </w:rPr>
        <w:t>10. </w:t>
      </w:r>
      <w:r>
        <w:rPr>
          <w:rFonts w:ascii="Times New Roman" w:hAnsi="Times New Roman"/>
          <w:sz w:val="20"/>
          <w:u w:val="single"/>
        </w:rPr>
        <w:t>Representations and Agreements to Survive Delivery</w:t>
      </w:r>
      <w:r>
        <w:rPr>
          <w:rFonts w:ascii="Times New Roman" w:hAnsi="Times New Roman"/>
          <w:sz w:val="20"/>
        </w:rPr>
        <w:t xml:space="preserve">. The indemnity and contribution agreements contained in </w:t>
      </w:r>
      <w:r>
        <w:rPr>
          <w:rFonts w:ascii="Times New Roman" w:hAnsi="Times New Roman"/>
          <w:sz w:val="20"/>
          <w:u w:val="single"/>
        </w:rPr>
        <w:t>Section 9</w:t>
      </w:r>
      <w:r>
        <w:rPr>
          <w:rFonts w:ascii="Times New Roman" w:hAnsi="Times New Roman"/>
          <w:sz w:val="20"/>
        </w:rPr>
        <w:t xml:space="preserve"> of this Agreement and all representations and warranties of the Company herein or in certificates delivered pursuant hereto shall survive, as of their respective dates, regardless of (i) any investigation made by or on behalf of TD Cowen, any controlling persons, or the Company (or any of their respective officers, directors or controlling persons), (ii) delivery and acceptance of the Placement Shares and payment therefor or (iii) any termination of this Agreement. </w:t>
      </w:r>
    </w:p>
    <w:p>
      <w:pPr>
        <w:pStyle w:val="TextBody"/>
        <w:bidi w:val="0"/>
        <w:spacing w:before="120" w:after="0"/>
        <w:jc w:val="left"/>
        <w:rPr>
          <w:rFonts w:ascii="Times New Roman" w:hAnsi="Times New Roman"/>
          <w:sz w:val="20"/>
        </w:rPr>
      </w:pPr>
      <w:r>
        <w:rPr>
          <w:rFonts w:ascii="Times New Roman" w:hAnsi="Times New Roman"/>
          <w:sz w:val="20"/>
        </w:rPr>
        <w:t>11. </w:t>
      </w:r>
      <w:r>
        <w:rPr>
          <w:rFonts w:ascii="Times New Roman" w:hAnsi="Times New Roman"/>
          <w:sz w:val="20"/>
          <w:u w:val="single"/>
        </w:rPr>
        <w:t>Termination.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TD Cowen shall have the right by giving written notice as hereinafter specified at any time to terminate this Agreement if (i) any Material Adverse Change, or any development that could reasonably be expected to result in a Material Adverse Change has occurred that, in the reasonable judgment of TD Cowen, may materially impair the ability of TD Cowen to sell the Placement Shares hereunder, (ii) the Company shall have failed, refused or been unable to perform any agreement on its part to be performed hereunder, (iii) any other condition of TD Cowen’s obligations hereunder is not fulfilled or (iv) any suspension or limitation of trading in the Placement Shares or in securities generally on Nasdaq shall have occurred. Any such termination shall be without liability of any party to any other party except that the provisions of </w:t>
      </w:r>
      <w:r>
        <w:rPr>
          <w:rFonts w:ascii="Times New Roman" w:hAnsi="Times New Roman"/>
          <w:sz w:val="20"/>
          <w:u w:val="single"/>
        </w:rPr>
        <w:t>Section 7(g)</w:t>
      </w:r>
      <w:r>
        <w:rPr>
          <w:rFonts w:ascii="Times New Roman" w:hAnsi="Times New Roman"/>
          <w:sz w:val="20"/>
        </w:rPr>
        <w:t xml:space="preserve"> (Expenses), </w:t>
      </w:r>
      <w:r>
        <w:rPr>
          <w:rFonts w:ascii="Times New Roman" w:hAnsi="Times New Roman"/>
          <w:sz w:val="20"/>
          <w:u w:val="single"/>
        </w:rPr>
        <w:t>Section 9</w:t>
      </w:r>
      <w:r>
        <w:rPr>
          <w:rFonts w:ascii="Times New Roman" w:hAnsi="Times New Roman"/>
          <w:sz w:val="20"/>
        </w:rPr>
        <w:t xml:space="preserve"> (Indemnification and Contribution), </w:t>
      </w:r>
      <w:r>
        <w:rPr>
          <w:rFonts w:ascii="Times New Roman" w:hAnsi="Times New Roman"/>
          <w:sz w:val="20"/>
          <w:u w:val="single"/>
        </w:rPr>
        <w:t>Section 10</w:t>
      </w:r>
      <w:r>
        <w:rPr>
          <w:rFonts w:ascii="Times New Roman" w:hAnsi="Times New Roman"/>
          <w:sz w:val="20"/>
        </w:rPr>
        <w:t xml:space="preserve"> (Representations and Agreements to Survive Delivery), </w:t>
      </w:r>
      <w:r>
        <w:rPr>
          <w:rFonts w:ascii="Times New Roman" w:hAnsi="Times New Roman"/>
          <w:sz w:val="20"/>
          <w:u w:val="single"/>
        </w:rPr>
        <w:t>Section 16</w:t>
      </w:r>
      <w:r>
        <w:rPr>
          <w:rFonts w:ascii="Times New Roman" w:hAnsi="Times New Roman"/>
          <w:sz w:val="20"/>
        </w:rPr>
        <w:t xml:space="preserve"> (Applicable Law; Consent to Jurisdiction), </w:t>
      </w:r>
      <w:r>
        <w:rPr>
          <w:rFonts w:ascii="Times New Roman" w:hAnsi="Times New Roman"/>
          <w:sz w:val="20"/>
          <w:u w:val="single"/>
        </w:rPr>
        <w:t>Section 17</w:t>
      </w:r>
      <w:r>
        <w:rPr>
          <w:rFonts w:ascii="Times New Roman" w:hAnsi="Times New Roman"/>
          <w:sz w:val="20"/>
        </w:rPr>
        <w:t xml:space="preserve"> (Taxes), Section 18 (Judgment Currency) and Section 19 (Waiver of Jury Trial) hereof shall remain in full force and effect notwithstanding such termination. If TD Cowen elects to terminate this Agreement as provided in this </w:t>
      </w:r>
      <w:r>
        <w:rPr>
          <w:rFonts w:ascii="Times New Roman" w:hAnsi="Times New Roman"/>
          <w:sz w:val="20"/>
          <w:u w:val="single"/>
        </w:rPr>
        <w:t>Section 11(a)</w:t>
      </w:r>
      <w:r>
        <w:rPr>
          <w:rFonts w:ascii="Times New Roman" w:hAnsi="Times New Roman"/>
          <w:sz w:val="20"/>
        </w:rPr>
        <w:t xml:space="preserve">, TD Cowen shall provide the required notice as specified in </w:t>
      </w:r>
      <w:r>
        <w:rPr>
          <w:rFonts w:ascii="Times New Roman" w:hAnsi="Times New Roman"/>
          <w:sz w:val="20"/>
          <w:u w:val="single"/>
        </w:rPr>
        <w:t>Section 12</w:t>
      </w:r>
      <w:r>
        <w:rPr>
          <w:rFonts w:ascii="Times New Roman" w:hAnsi="Times New Roman"/>
          <w:sz w:val="20"/>
        </w:rPr>
        <w:t xml:space="preserve"> (Notices).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Company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Section 7(g), Section 9, Section 10, Section 16, Section 17, Section 18 and Section 19 hereof shall remain in full force and effect notwithstanding such termination. </w:t>
      </w:r>
    </w:p>
    <w:p>
      <w:pPr>
        <w:pStyle w:val="TextBody"/>
        <w:bidi w:val="0"/>
        <w:spacing w:before="120" w:after="0"/>
        <w:jc w:val="left"/>
        <w:rPr>
          <w:rFonts w:ascii="Times New Roman" w:hAnsi="Times New Roman"/>
          <w:sz w:val="20"/>
        </w:rPr>
      </w:pPr>
      <w:r>
        <w:rPr>
          <w:rFonts w:ascii="Times New Roman" w:hAnsi="Times New Roman"/>
          <w:sz w:val="20"/>
        </w:rPr>
        <w:t xml:space="preserve">(c) TD Cowen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Section 7(g), Section 9, Section 10, Section 16, Section 17, Section 18 and Section 19 hereof shall remain in full force and effect notwithstanding such termination. </w:t>
      </w:r>
    </w:p>
    <w:p>
      <w:pPr>
        <w:pStyle w:val="TextBody"/>
        <w:bidi w:val="0"/>
        <w:spacing w:before="120" w:after="0"/>
        <w:jc w:val="left"/>
        <w:rPr>
          <w:rFonts w:ascii="Times New Roman" w:hAnsi="Times New Roman"/>
          <w:sz w:val="20"/>
        </w:rPr>
      </w:pPr>
      <w:r>
        <w:rPr>
          <w:rFonts w:ascii="Times New Roman" w:hAnsi="Times New Roman"/>
          <w:sz w:val="20"/>
        </w:rPr>
        <w:t xml:space="preserve">(d) Unless earlier terminated pursuant to this </w:t>
      </w:r>
      <w:r>
        <w:rPr>
          <w:rFonts w:ascii="Times New Roman" w:hAnsi="Times New Roman"/>
          <w:sz w:val="20"/>
          <w:u w:val="single"/>
        </w:rPr>
        <w:t>Section 11</w:t>
      </w:r>
      <w:r>
        <w:rPr>
          <w:rFonts w:ascii="Times New Roman" w:hAnsi="Times New Roman"/>
          <w:sz w:val="20"/>
        </w:rPr>
        <w:t xml:space="preserve">, this Agreement shall automatically terminate upon the issuance and sale of all of the Placement Shares through TD Cowen on the terms and subject to the conditions set forth herein; </w:t>
      </w:r>
      <w:r>
        <w:rPr>
          <w:rFonts w:ascii="Times New Roman" w:hAnsi="Times New Roman"/>
          <w:i/>
          <w:sz w:val="20"/>
        </w:rPr>
        <w:t>provided</w:t>
      </w:r>
      <w:r>
        <w:rPr>
          <w:rFonts w:ascii="Times New Roman" w:hAnsi="Times New Roman"/>
          <w:sz w:val="20"/>
        </w:rPr>
        <w:t xml:space="preserve"> that the provisions of </w:t>
      </w:r>
      <w:r>
        <w:rPr>
          <w:rFonts w:ascii="Times New Roman" w:hAnsi="Times New Roman"/>
          <w:sz w:val="20"/>
          <w:u w:val="single"/>
        </w:rPr>
        <w:t>Section 7(g)</w:t>
      </w:r>
      <w:r>
        <w:rPr>
          <w:rFonts w:ascii="Times New Roman" w:hAnsi="Times New Roman"/>
          <w:sz w:val="20"/>
        </w:rPr>
        <w:t xml:space="preserve">, </w:t>
      </w:r>
      <w:r>
        <w:rPr>
          <w:rFonts w:ascii="Times New Roman" w:hAnsi="Times New Roman"/>
          <w:sz w:val="20"/>
          <w:u w:val="single"/>
        </w:rPr>
        <w:t>Section 9</w:t>
      </w:r>
      <w:r>
        <w:rPr>
          <w:rFonts w:ascii="Times New Roman" w:hAnsi="Times New Roman"/>
          <w:sz w:val="20"/>
        </w:rPr>
        <w:t xml:space="preserve">, </w:t>
      </w:r>
      <w:r>
        <w:rPr>
          <w:rFonts w:ascii="Times New Roman" w:hAnsi="Times New Roman"/>
          <w:sz w:val="20"/>
          <w:u w:val="single"/>
        </w:rPr>
        <w:t>Section 10</w:t>
      </w:r>
      <w:r>
        <w:rPr>
          <w:rFonts w:ascii="Times New Roman" w:hAnsi="Times New Roman"/>
          <w:sz w:val="20"/>
        </w:rPr>
        <w:t xml:space="preserve">, </w:t>
      </w:r>
      <w:r>
        <w:rPr>
          <w:rFonts w:ascii="Times New Roman" w:hAnsi="Times New Roman"/>
          <w:sz w:val="20"/>
          <w:u w:val="single"/>
        </w:rPr>
        <w:t>Section 16</w:t>
      </w:r>
      <w:r>
        <w:rPr>
          <w:rFonts w:ascii="Times New Roman" w:hAnsi="Times New Roman"/>
          <w:sz w:val="20"/>
        </w:rPr>
        <w:t xml:space="preserve">, Section 17, Section 18 and Section 19 hereof shall remain in full force and effect notwithstanding such termination. </w:t>
      </w:r>
    </w:p>
    <w:p>
      <w:pPr>
        <w:pStyle w:val="TextBody"/>
        <w:bidi w:val="0"/>
        <w:spacing w:before="120" w:after="0"/>
        <w:jc w:val="left"/>
        <w:rPr>
          <w:rFonts w:ascii="Times New Roman" w:hAnsi="Times New Roman"/>
          <w:sz w:val="20"/>
        </w:rPr>
      </w:pPr>
      <w:r>
        <w:rPr>
          <w:rFonts w:ascii="Times New Roman" w:hAnsi="Times New Roman"/>
          <w:sz w:val="20"/>
        </w:rPr>
        <w:t xml:space="preserve">(e) This Agreement shall remain in full force and effect unless terminated pursuant to </w:t>
      </w:r>
      <w:r>
        <w:rPr>
          <w:rFonts w:ascii="Times New Roman" w:hAnsi="Times New Roman"/>
          <w:sz w:val="20"/>
          <w:u w:val="single"/>
        </w:rPr>
        <w:t>Sections 11(a)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(c), or (d)</w:t>
      </w:r>
      <w:r>
        <w:rPr>
          <w:rFonts w:ascii="Times New Roman" w:hAnsi="Times New Roman"/>
          <w:sz w:val="20"/>
        </w:rPr>
        <w:t xml:space="preserve"> above or otherwise by mutual agreement of the parties; </w:t>
      </w:r>
      <w:r>
        <w:rPr>
          <w:rFonts w:ascii="Times New Roman" w:hAnsi="Times New Roman"/>
          <w:i/>
          <w:sz w:val="20"/>
        </w:rPr>
        <w:t xml:space="preserve">provided, however, </w:t>
      </w:r>
      <w:r>
        <w:rPr>
          <w:rFonts w:ascii="Times New Roman" w:hAnsi="Times New Roman"/>
          <w:sz w:val="20"/>
        </w:rPr>
        <w:t xml:space="preserve">that any such termination by mutual agreement shall in all cases be deemed to provide that </w:t>
      </w:r>
      <w:r>
        <w:rPr>
          <w:rFonts w:ascii="Times New Roman" w:hAnsi="Times New Roman"/>
          <w:sz w:val="20"/>
          <w:u w:val="single"/>
        </w:rPr>
        <w:t>Section 7(g)</w:t>
      </w:r>
      <w:r>
        <w:rPr>
          <w:rFonts w:ascii="Times New Roman" w:hAnsi="Times New Roman"/>
          <w:sz w:val="20"/>
        </w:rPr>
        <w:t xml:space="preserve">, </w:t>
      </w:r>
      <w:r>
        <w:rPr>
          <w:rFonts w:ascii="Times New Roman" w:hAnsi="Times New Roman"/>
          <w:sz w:val="20"/>
          <w:u w:val="single"/>
        </w:rPr>
        <w:t>Section 9</w:t>
      </w:r>
      <w:r>
        <w:rPr>
          <w:rFonts w:ascii="Times New Roman" w:hAnsi="Times New Roman"/>
          <w:sz w:val="20"/>
        </w:rPr>
        <w:t xml:space="preserve">, </w:t>
      </w:r>
      <w:r>
        <w:rPr>
          <w:rFonts w:ascii="Times New Roman" w:hAnsi="Times New Roman"/>
          <w:sz w:val="20"/>
          <w:u w:val="single"/>
        </w:rPr>
        <w:t>Section 10</w:t>
      </w:r>
      <w:r>
        <w:rPr>
          <w:rFonts w:ascii="Times New Roman" w:hAnsi="Times New Roman"/>
          <w:sz w:val="20"/>
        </w:rPr>
        <w:t xml:space="preserve">, </w:t>
      </w:r>
      <w:r>
        <w:rPr>
          <w:rFonts w:ascii="Times New Roman" w:hAnsi="Times New Roman"/>
          <w:sz w:val="20"/>
          <w:u w:val="single"/>
        </w:rPr>
        <w:t>Section 16</w:t>
      </w:r>
      <w:r>
        <w:rPr>
          <w:rFonts w:ascii="Times New Roman" w:hAnsi="Times New Roman"/>
          <w:sz w:val="20"/>
        </w:rPr>
        <w:t xml:space="preserve">, Section 17, Section 18 and Section 19 shall remain in full force and effect. Upon termination of this Agreement, the Company shall not have any liability to TD Cowen for any discount, commission or other compensation with respect to any Placement Shares not otherwise sold by TD Cowen under this Agreement, except with respect to reimbursement of expenses actually incurred by TD Cowen, if any, to the extent provided for pursuant to </w:t>
      </w:r>
      <w:r>
        <w:rPr>
          <w:rFonts w:ascii="Times New Roman" w:hAnsi="Times New Roman"/>
          <w:sz w:val="20"/>
          <w:u w:val="single"/>
        </w:rPr>
        <w:t>Section 7(g)(vii)</w:t>
      </w:r>
      <w:r>
        <w:rPr>
          <w:rFonts w:ascii="Times New Roman" w:hAnsi="Times New Roman"/>
          <w:sz w:val="20"/>
        </w:rPr>
        <w:t xml:space="preserve"> and </w:t>
      </w:r>
      <w:r>
        <w:rPr>
          <w:rFonts w:ascii="Times New Roman" w:hAnsi="Times New Roman"/>
          <w:sz w:val="20"/>
          <w:u w:val="single"/>
        </w:rPr>
        <w:t>Section 7(g)(viii)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 Any termination of this Agreement shall be effective on the date specified in such notice of termination; </w:t>
      </w:r>
      <w:r>
        <w:rPr>
          <w:rFonts w:ascii="Times New Roman" w:hAnsi="Times New Roman"/>
          <w:i/>
          <w:sz w:val="20"/>
        </w:rPr>
        <w:t>provided, however,</w:t>
      </w:r>
      <w:r>
        <w:rPr>
          <w:rFonts w:ascii="Times New Roman" w:hAnsi="Times New Roman"/>
          <w:sz w:val="20"/>
        </w:rPr>
        <w:t xml:space="preserve"> that such termination shall not be effective until the close of business on the date of receipt of such notice by TD Cowen or the Company, as the case may be. If such termination shall occur prior to the Settlement Date for any sale of Placement Shares, such Placement Shares shall settle in accordance with the provisions of this Agreement. </w:t>
      </w:r>
    </w:p>
    <w:p>
      <w:pPr>
        <w:pStyle w:val="TextBody"/>
        <w:bidi w:val="0"/>
        <w:spacing w:before="120" w:after="0"/>
        <w:jc w:val="left"/>
        <w:rPr>
          <w:rFonts w:ascii="Times New Roman" w:hAnsi="Times New Roman"/>
          <w:sz w:val="20"/>
        </w:rPr>
      </w:pPr>
      <w:r>
        <w:rPr>
          <w:rFonts w:ascii="Times New Roman" w:hAnsi="Times New Roman"/>
          <w:sz w:val="20"/>
        </w:rPr>
        <w:t>12. </w:t>
      </w:r>
      <w:r>
        <w:rPr>
          <w:rFonts w:ascii="Times New Roman" w:hAnsi="Times New Roman"/>
          <w:sz w:val="20"/>
          <w:u w:val="single"/>
        </w:rPr>
        <w:t>Notices</w:t>
      </w:r>
      <w:r>
        <w:rPr>
          <w:rFonts w:ascii="Times New Roman" w:hAnsi="Times New Roman"/>
          <w:sz w:val="20"/>
        </w:rPr>
        <w:t xml:space="preserve">. All notices or other communications required or permitted to be given by any party to any other party pursuant to the terms of this Agreement shall be in writing, unless otherwise specified in this Agreement, and if sent to TD Cowen, shall be delivered to TD Cowen at TD Securities (USA) LLC, 1 Vanderbilt Avenue, New York, NY 10017, fax no. 646-562-1130, Attention: Head of Equity Capital Markets, email: CIBLegal@tdsecurities.com; or if sent to the Company, shall be delivered to Damora Therapeutics, Inc., 221 Crescent Street, Building 23, Suite 105, Waltham, MA 02453, attention: Garrett Winslow, General Counsel, email: garrett.winslow@damoratx.com, with a copy to Gibson, Dunn &amp; Crutcher LLP, attention: Ryan Murr, Esq., Branden Berns, Esq. and Melanie Neary, Esq., email: rmurr@gibsondunn.com;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bberns@gibsondunn.com; and mneary@gibsondunn.com. Each party to this Agreement may change such address for notices by sending to the parties to this Agreement written notice of a new address for such purpose. Each such notice or other communication shall be deemed given (i) when delivered personally or by electronic transmission to the email addresses as set forth in or provided pursuant to this </w:t>
      </w:r>
      <w:r>
        <w:rPr>
          <w:rFonts w:ascii="Times New Roman" w:hAnsi="Times New Roman"/>
          <w:sz w:val="20"/>
          <w:u w:val="single"/>
        </w:rPr>
        <w:t>Section 12</w:t>
      </w:r>
      <w:r>
        <w:rPr>
          <w:rFonts w:ascii="Times New Roman" w:hAnsi="Times New Roman"/>
          <w:sz w:val="20"/>
        </w:rPr>
        <w:t xml:space="preserve"> on or before 4:30 p.m., New York City time, on a Business Day (as defined below), or, if such day is not a Business Day on the next succeeding Business Day, (ii) on the next Business Day after timely delivery to a nationally-recognized overnight courier and (iii) on the Business Day actually received if deposited in the U.S. mail (certified or registered mail, return receipt requested, postage prepaid). For purposes of this Agreement, “</w:t>
      </w:r>
      <w:r>
        <w:rPr>
          <w:rFonts w:ascii="Times New Roman" w:hAnsi="Times New Roman"/>
          <w:b/>
          <w:sz w:val="20"/>
          <w:u w:val="single"/>
        </w:rPr>
        <w:t>Business Day</w:t>
      </w:r>
      <w:r>
        <w:rPr>
          <w:rFonts w:ascii="Times New Roman" w:hAnsi="Times New Roman"/>
          <w:sz w:val="20"/>
        </w:rPr>
        <w:t xml:space="preserve">” shall mean any day on which the Nasdaq and commercial banks in the City of New York are open for business. </w:t>
      </w:r>
    </w:p>
    <w:p>
      <w:pPr>
        <w:pStyle w:val="TextBody"/>
        <w:bidi w:val="0"/>
        <w:spacing w:before="120" w:after="0"/>
        <w:jc w:val="left"/>
        <w:rPr>
          <w:rFonts w:ascii="Times New Roman" w:hAnsi="Times New Roman"/>
          <w:sz w:val="20"/>
        </w:rPr>
      </w:pPr>
      <w:r>
        <w:rPr>
          <w:rFonts w:ascii="Times New Roman" w:hAnsi="Times New Roman"/>
          <w:sz w:val="20"/>
        </w:rPr>
        <w:t>13. </w:t>
      </w:r>
      <w:r>
        <w:rPr>
          <w:rFonts w:ascii="Times New Roman" w:hAnsi="Times New Roman"/>
          <w:sz w:val="20"/>
          <w:u w:val="single"/>
        </w:rPr>
        <w:t>Successors and Assigns</w:t>
      </w:r>
      <w:r>
        <w:rPr>
          <w:rFonts w:ascii="Times New Roman" w:hAnsi="Times New Roman"/>
          <w:sz w:val="20"/>
        </w:rPr>
        <w:t xml:space="preserve">. This Agreement shall inure to the benefit of and be binding upon the Company and TD Cowen and their respective successors and the affiliates, controlling persons, officers and directors referred to in </w:t>
      </w:r>
      <w:r>
        <w:rPr>
          <w:rFonts w:ascii="Times New Roman" w:hAnsi="Times New Roman"/>
          <w:sz w:val="20"/>
          <w:u w:val="single"/>
        </w:rPr>
        <w:t>Section 9</w:t>
      </w:r>
      <w:r>
        <w:rPr>
          <w:rFonts w:ascii="Times New Roman" w:hAnsi="Times New Roman"/>
          <w:sz w:val="20"/>
        </w:rPr>
        <w:t xml:space="preserve">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TD Cowen may assign its rights and obligations hereunder to an affiliate of TD Cowen without obtaining the Company’s consent. </w:t>
      </w:r>
    </w:p>
    <w:p>
      <w:pPr>
        <w:pStyle w:val="TextBody"/>
        <w:bidi w:val="0"/>
        <w:spacing w:before="120" w:after="0"/>
        <w:jc w:val="left"/>
        <w:rPr>
          <w:rFonts w:ascii="Times New Roman" w:hAnsi="Times New Roman"/>
          <w:sz w:val="20"/>
        </w:rPr>
      </w:pPr>
      <w:r>
        <w:rPr>
          <w:rFonts w:ascii="Times New Roman" w:hAnsi="Times New Roman"/>
          <w:sz w:val="20"/>
        </w:rPr>
        <w:t>14. </w:t>
      </w:r>
      <w:r>
        <w:rPr>
          <w:rFonts w:ascii="Times New Roman" w:hAnsi="Times New Roman"/>
          <w:sz w:val="20"/>
          <w:u w:val="single"/>
        </w:rPr>
        <w:t>Adjustments for Share Splits</w:t>
      </w:r>
      <w:r>
        <w:rPr>
          <w:rFonts w:ascii="Times New Roman" w:hAnsi="Times New Roman"/>
          <w:sz w:val="20"/>
        </w:rPr>
        <w:t xml:space="preserve">. The parties acknowledge and agree that all share-related numbers contained in this Agreement shall be adjusted to take into account any share split, share dividend or similar event effected with respect to the Ordinary Shares. </w:t>
      </w:r>
    </w:p>
    <w:p>
      <w:pPr>
        <w:pStyle w:val="TextBody"/>
        <w:bidi w:val="0"/>
        <w:spacing w:before="120" w:after="0"/>
        <w:jc w:val="left"/>
        <w:rPr>
          <w:rFonts w:ascii="Times New Roman" w:hAnsi="Times New Roman"/>
          <w:sz w:val="20"/>
        </w:rPr>
      </w:pPr>
      <w:r>
        <w:rPr>
          <w:rFonts w:ascii="Times New Roman" w:hAnsi="Times New Roman"/>
          <w:sz w:val="20"/>
        </w:rPr>
        <w:t>15. </w:t>
      </w:r>
      <w:r>
        <w:rPr>
          <w:rFonts w:ascii="Times New Roman" w:hAnsi="Times New Roman"/>
          <w:sz w:val="20"/>
          <w:u w:val="single"/>
        </w:rPr>
        <w:t>Entire Agreement; Amendment; Severability</w:t>
      </w:r>
      <w:r>
        <w:rPr>
          <w:rFonts w:ascii="Times New Roman" w:hAnsi="Times New Roman"/>
          <w:sz w:val="20"/>
        </w:rPr>
        <w:t xml:space="preserve">. This Agreement (including all schedules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TD Cowen; </w:t>
      </w:r>
      <w:r>
        <w:rPr>
          <w:rFonts w:ascii="Times New Roman" w:hAnsi="Times New Roman"/>
          <w:i/>
          <w:sz w:val="20"/>
        </w:rPr>
        <w:t>provided</w:t>
      </w:r>
      <w:r>
        <w:rPr>
          <w:rFonts w:ascii="Times New Roman" w:hAnsi="Times New Roman"/>
          <w:sz w:val="20"/>
        </w:rPr>
        <w:t xml:space="preserve">, that each party hereto may amend the list of individuals appearing under such party’s name on </w:t>
      </w:r>
      <w:r>
        <w:rPr>
          <w:rFonts w:ascii="Times New Roman" w:hAnsi="Times New Roman"/>
          <w:b/>
          <w:sz w:val="20"/>
          <w:u w:val="single"/>
        </w:rPr>
        <w:t>Schedule 2</w:t>
      </w:r>
      <w:r>
        <w:rPr>
          <w:rFonts w:ascii="Times New Roman" w:hAnsi="Times New Roman"/>
          <w:sz w:val="20"/>
        </w:rPr>
        <w:t xml:space="preserve"> by sending a written notice containing a revised </w:t>
      </w:r>
      <w:r>
        <w:rPr>
          <w:rFonts w:ascii="Times New Roman" w:hAnsi="Times New Roman"/>
          <w:b/>
          <w:sz w:val="20"/>
          <w:u w:val="single"/>
        </w:rPr>
        <w:t>Schedule 2</w:t>
      </w:r>
      <w:r>
        <w:rPr>
          <w:rFonts w:ascii="Times New Roman" w:hAnsi="Times New Roman"/>
          <w:sz w:val="20"/>
        </w:rPr>
        <w:t xml:space="preserve"> to the other party in the manner provided in </w:t>
      </w:r>
      <w:r>
        <w:rPr>
          <w:rFonts w:ascii="Times New Roman" w:hAnsi="Times New Roman"/>
          <w:sz w:val="20"/>
          <w:u w:val="single"/>
        </w:rPr>
        <w:t>Section 12</w:t>
      </w:r>
      <w:r>
        <w:rPr>
          <w:rFonts w:ascii="Times New Roman" w:hAnsi="Times New Roman"/>
          <w:sz w:val="20"/>
        </w:rPr>
        <w:t xml:space="preserve">.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 </w:t>
      </w:r>
    </w:p>
    <w:p>
      <w:pPr>
        <w:pStyle w:val="TextBody"/>
        <w:bidi w:val="0"/>
        <w:spacing w:before="120" w:after="0"/>
        <w:jc w:val="left"/>
        <w:rPr>
          <w:rFonts w:ascii="Times New Roman" w:hAnsi="Times New Roman"/>
          <w:sz w:val="20"/>
        </w:rPr>
      </w:pPr>
      <w:r>
        <w:rPr>
          <w:rFonts w:ascii="Times New Roman" w:hAnsi="Times New Roman"/>
          <w:sz w:val="20"/>
        </w:rPr>
        <w:t>16. </w:t>
      </w:r>
      <w:r>
        <w:rPr>
          <w:rFonts w:ascii="Times New Roman" w:hAnsi="Times New Roman"/>
          <w:sz w:val="20"/>
          <w:u w:val="single"/>
        </w:rPr>
        <w:t>Applicable Law; Consent to Jurisdiction</w:t>
      </w:r>
      <w:r>
        <w:rPr>
          <w:rFonts w:ascii="Times New Roman" w:hAnsi="Times New Roman"/>
          <w:sz w:val="20"/>
        </w:rPr>
        <w:t xml:space="preserve">. This Agreement shall be governed by, and construed in accordance with, the internal laws of the State of New York without regard to the principles of conflicts of laws. Each party hereby irrevocably submits to the non-exclusive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 </w:t>
      </w:r>
    </w:p>
    <w:p>
      <w:pPr>
        <w:pStyle w:val="TextBody"/>
        <w:bidi w:val="0"/>
        <w:spacing w:before="120" w:after="0"/>
        <w:jc w:val="left"/>
        <w:rPr>
          <w:rFonts w:ascii="Times New Roman" w:hAnsi="Times New Roman"/>
          <w:sz w:val="20"/>
        </w:rPr>
      </w:pPr>
      <w:r>
        <w:rPr>
          <w:rFonts w:ascii="Times New Roman" w:hAnsi="Times New Roman"/>
          <w:sz w:val="20"/>
        </w:rPr>
        <w:t>17. </w:t>
      </w:r>
      <w:r>
        <w:rPr>
          <w:rFonts w:ascii="Times New Roman" w:hAnsi="Times New Roman"/>
          <w:sz w:val="20"/>
          <w:u w:val="single"/>
        </w:rPr>
        <w:t xml:space="preserve">Taxes. </w:t>
      </w:r>
      <w:r>
        <w:rPr>
          <w:rFonts w:ascii="Times New Roman" w:hAnsi="Times New Roman"/>
          <w:sz w:val="20"/>
        </w:rPr>
        <w:t>All payments to be made by the Company under this Agreement shall be paid free and clear of and without deduction or withholding for or on account of, any present or future taxes, levies, imposts, duties, fees, assessments or other charges of whatever nature, imposed by the Cayman Islands, any other jurisdiction in which the Company is organized, doing business or resident for tax purposes or any jurisdiction from or through which a payment is made, or by any department, agency or other political subdivision or taxing authority thereof (each, a “</w:t>
      </w:r>
      <w:r>
        <w:rPr>
          <w:rFonts w:ascii="Times New Roman" w:hAnsi="Times New Roman"/>
          <w:b/>
          <w:sz w:val="20"/>
        </w:rPr>
        <w:t>Taxing Jurisdiction</w:t>
      </w:r>
      <w:r>
        <w:rPr>
          <w:rFonts w:ascii="Times New Roman" w:hAnsi="Times New Roman"/>
          <w:sz w:val="20"/>
        </w:rPr>
        <w:t>”), and all interest, penalties or similar liabilities with respect thereto (collectively, “</w:t>
      </w:r>
      <w:r>
        <w:rPr>
          <w:rFonts w:ascii="Times New Roman" w:hAnsi="Times New Roman"/>
          <w:b/>
          <w:sz w:val="20"/>
        </w:rPr>
        <w:t>Taxes</w:t>
      </w:r>
      <w:r>
        <w:rPr>
          <w:rFonts w:ascii="Times New Roman" w:hAnsi="Times New Roman"/>
          <w:sz w:val="20"/>
        </w:rPr>
        <w:t xml:space="preserve">”), except as required by law. If any Taxes are required by law to be deducted or withheld in connection with such payments, the Company will increase the amount paid so that the full amount of such payment is received by TD Cowen, except to the extent that such Taxes were imposed due to TD Cowen having any present or former connection with a Taxing Jurisdiction other than solely as a result of (A) the execution and delivery of, or performance of, its obligations under this Agreement, (B) receiving or paying for the Placement Shares or (C) receiving any payments or enforcing any rights hereunder. </w:t>
      </w:r>
    </w:p>
    <w:p>
      <w:pPr>
        <w:pStyle w:val="TextBody"/>
        <w:bidi w:val="0"/>
        <w:spacing w:before="120" w:after="0"/>
        <w:jc w:val="left"/>
        <w:rPr>
          <w:rFonts w:ascii="Times New Roman" w:hAnsi="Times New Roman"/>
          <w:sz w:val="20"/>
        </w:rPr>
      </w:pPr>
      <w:r>
        <w:rPr>
          <w:rFonts w:ascii="Times New Roman" w:hAnsi="Times New Roman"/>
          <w:sz w:val="20"/>
        </w:rPr>
        <w:t>18. </w:t>
      </w:r>
      <w:r>
        <w:rPr>
          <w:rFonts w:ascii="Times New Roman" w:hAnsi="Times New Roman"/>
          <w:sz w:val="20"/>
          <w:u w:val="single"/>
        </w:rPr>
        <w:t xml:space="preserve">Judgment Currency. </w:t>
      </w:r>
      <w:r>
        <w:rPr>
          <w:rFonts w:ascii="Times New Roman" w:hAnsi="Times New Roman"/>
          <w:sz w:val="20"/>
        </w:rPr>
        <w:t xml:space="preserve">The obligations of the Company pursuant to this Agreement in respect of any sum due to TD Cowen shall, notwithstanding any judgment in a currency other than United States dollars, not be discharged until the first Business Day, following receipt by TD Cowen of any sum adjudged to be so due in such other currency, on which (and only to the extent that) TD Cowen may in accordance with normal banking procedures purchase United States dollars with such other currency; if the United States dollars so purchased (net of any premiums and costs of exchange payable in connection with the purchase of United States dollars) are less than the sum originally due to TD Cowen hereunder, the Company agrees, as a separate obligation and notwithstanding any such judgment, to indemnify TD Cowen against such loss. If the United States dollars so purchased are greater than the sum originally due to TD Cowen hereunder, TD Cowen agrees to pay to the Company an amount equal to the excess of the dollars so purchased over the sum originally due to TD Cowen hereunder. </w:t>
      </w:r>
    </w:p>
    <w:p>
      <w:pPr>
        <w:pStyle w:val="TextBody"/>
        <w:bidi w:val="0"/>
        <w:spacing w:before="120" w:after="0"/>
        <w:jc w:val="left"/>
        <w:rPr>
          <w:rFonts w:ascii="Times New Roman" w:hAnsi="Times New Roman"/>
          <w:sz w:val="20"/>
        </w:rPr>
      </w:pPr>
      <w:r>
        <w:rPr>
          <w:rFonts w:ascii="Times New Roman" w:hAnsi="Times New Roman"/>
          <w:sz w:val="20"/>
        </w:rPr>
        <w:t>19. </w:t>
      </w:r>
      <w:r>
        <w:rPr>
          <w:rFonts w:ascii="Times New Roman" w:hAnsi="Times New Roman"/>
          <w:sz w:val="20"/>
          <w:u w:val="single"/>
        </w:rPr>
        <w:t>Waiver of Jury Trial</w:t>
      </w:r>
      <w:r>
        <w:rPr>
          <w:rFonts w:ascii="Times New Roman" w:hAnsi="Times New Roman"/>
          <w:sz w:val="20"/>
        </w:rPr>
        <w:t xml:space="preserve">. The Company and TD Cowen each hereby irrevocably waives any right it may have to a trial by jury in respect of any claim based upon or arising out of this Agreement or any transaction contemplated hereby. </w:t>
      </w:r>
    </w:p>
    <w:p>
      <w:pPr>
        <w:pStyle w:val="TextBody"/>
        <w:bidi w:val="0"/>
        <w:spacing w:before="120" w:after="0"/>
        <w:jc w:val="left"/>
        <w:rPr>
          <w:rFonts w:ascii="Times New Roman" w:hAnsi="Times New Roman"/>
          <w:sz w:val="20"/>
        </w:rPr>
      </w:pPr>
      <w:r>
        <w:rPr>
          <w:rFonts w:ascii="Times New Roman" w:hAnsi="Times New Roman"/>
          <w:sz w:val="20"/>
        </w:rPr>
        <w:t>20. </w:t>
      </w:r>
      <w:r>
        <w:rPr>
          <w:rFonts w:ascii="Times New Roman" w:hAnsi="Times New Roman"/>
          <w:sz w:val="20"/>
          <w:u w:val="single"/>
        </w:rPr>
        <w:t>Absence of Fiduciary Relationship</w:t>
      </w:r>
      <w:r>
        <w:rPr>
          <w:rFonts w:ascii="Times New Roman" w:hAnsi="Times New Roman"/>
          <w:i/>
          <w:sz w:val="20"/>
        </w:rPr>
        <w:t xml:space="preserve">. </w:t>
      </w:r>
      <w:r>
        <w:rPr>
          <w:rFonts w:ascii="Times New Roman" w:hAnsi="Times New Roman"/>
          <w:sz w:val="20"/>
        </w:rPr>
        <w:t xml:space="preserve">The Company acknowledges and agrees that: </w:t>
      </w:r>
    </w:p>
    <w:p>
      <w:pPr>
        <w:pStyle w:val="TextBody"/>
        <w:bidi w:val="0"/>
        <w:spacing w:before="120" w:after="0"/>
        <w:jc w:val="left"/>
        <w:rPr>
          <w:rFonts w:ascii="Times New Roman" w:hAnsi="Times New Roman"/>
          <w:sz w:val="20"/>
        </w:rPr>
      </w:pPr>
      <w:r>
        <w:rPr>
          <w:rFonts w:ascii="Times New Roman" w:hAnsi="Times New Roman"/>
          <w:sz w:val="20"/>
        </w:rPr>
        <w:t xml:space="preserve">(a) TD Cowen has been retained solely to act as an arm’s length contractual counterparty to the Company in connection with the sale of the Placement Shares contemplated hereby and that no fiduciary, advisory or agency relationship between the Company and TD Cowen has been created in respect of any of the transactions contemplated by this Agreement, irrespective of whether TD Cowen has advised or is advising the Company on other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Company is capable of evaluating and understanding and understands and accepts the terms, risks and conditions of the transactions contemplated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the Company has been advised that TD Cowen and its affiliates are engaged in a broad range of transactions which may involve interests that differ from those of the Company and that TD Cowen has no obligation to disclose such interests and transactions to the Company by virtue of any fiduciary, advisory or agency relationship; and </w:t>
      </w:r>
    </w:p>
    <w:p>
      <w:pPr>
        <w:pStyle w:val="TextBody"/>
        <w:bidi w:val="0"/>
        <w:spacing w:before="120" w:after="0"/>
        <w:jc w:val="left"/>
        <w:rPr>
          <w:rFonts w:ascii="Times New Roman" w:hAnsi="Times New Roman"/>
          <w:sz w:val="20"/>
        </w:rPr>
      </w:pPr>
      <w:r>
        <w:rPr>
          <w:rFonts w:ascii="Times New Roman" w:hAnsi="Times New Roman"/>
          <w:sz w:val="20"/>
        </w:rPr>
        <w:t xml:space="preserve">(d) the Company waives, to the fullest extent permitted by law, any claims it may have against TD Cowen, for breach of fiduciary duty or alleged breach of fiduciary duty and agrees that TD Cowen shall have no liability (whether direct or indirect) to the Company in respect of such a fiduciary claim or to any person asserting a fiduciary duty claim on behalf of or in right of the Company, including shareholders, partners, employees or creditors of the Company. </w:t>
      </w:r>
    </w:p>
    <w:p>
      <w:pPr>
        <w:pStyle w:val="TextBody"/>
        <w:bidi w:val="0"/>
        <w:spacing w:before="120" w:after="0"/>
        <w:jc w:val="left"/>
        <w:rPr>
          <w:rFonts w:ascii="Times New Roman" w:hAnsi="Times New Roman"/>
          <w:sz w:val="20"/>
        </w:rPr>
      </w:pPr>
      <w:r>
        <w:rPr>
          <w:rFonts w:ascii="Times New Roman" w:hAnsi="Times New Roman"/>
          <w:sz w:val="20"/>
        </w:rPr>
        <w:t>21. </w:t>
      </w:r>
      <w:r>
        <w:rPr>
          <w:rFonts w:ascii="Times New Roman" w:hAnsi="Times New Roman"/>
          <w:sz w:val="20"/>
          <w:u w:val="single"/>
        </w:rPr>
        <w:t>Counterparts</w:t>
      </w:r>
      <w:r>
        <w:rPr>
          <w:rFonts w:ascii="Times New Roman" w:hAnsi="Times New Roman"/>
          <w:sz w:val="20"/>
        </w:rPr>
        <w:t xml:space="preserve">. This Agreement may be executed in two or more counterparts, each of which shall be deemed an original, but all of which together shall constitute one and the same instrument. Delivery of an executed Agreement by one party to the other may be made by electronic transmission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 </w:t>
      </w:r>
    </w:p>
    <w:p>
      <w:pPr>
        <w:pStyle w:val="TextBody"/>
        <w:bidi w:val="0"/>
        <w:spacing w:before="120" w:after="0"/>
        <w:jc w:val="left"/>
        <w:rPr>
          <w:rFonts w:ascii="Times New Roman" w:hAnsi="Times New Roman"/>
          <w:sz w:val="20"/>
        </w:rPr>
      </w:pPr>
      <w:r>
        <w:rPr>
          <w:rFonts w:ascii="Times New Roman" w:hAnsi="Times New Roman"/>
          <w:sz w:val="20"/>
        </w:rPr>
        <w:t>22. </w:t>
      </w:r>
      <w:r>
        <w:rPr>
          <w:rFonts w:ascii="Times New Roman" w:hAnsi="Times New Roman"/>
          <w:sz w:val="20"/>
          <w:u w:val="single"/>
        </w:rPr>
        <w:t>Recognition of the U.S. Special Resolution Regimes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 the event that TD Cowen is a Covered Entity and becomes subject to a proceeding under a U.S. Special Resolution Regime, the transfer from TD Cowen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(b) In the event that TD Cowen is a Covered Entity and TD Cowen or a BHC Act Affiliate of TD Cowen becomes subject to a proceeding under a U.S. Special Resolution Regime, Default Rights under this Agreement that may be exercised against TD Cowen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120" w:after="0"/>
        <w:jc w:val="left"/>
        <w:rPr>
          <w:rFonts w:ascii="Times New Roman" w:hAnsi="Times New Roman"/>
          <w:sz w:val="20"/>
        </w:rPr>
      </w:pPr>
      <w:r>
        <w:rPr>
          <w:rFonts w:ascii="Times New Roman" w:hAnsi="Times New Roman"/>
          <w:sz w:val="20"/>
        </w:rPr>
        <w:t>(c) For purposes of this Section 22; (a) “</w:t>
      </w:r>
      <w:r>
        <w:rPr>
          <w:rFonts w:ascii="Times New Roman" w:hAnsi="Times New Roman"/>
          <w:b/>
          <w:sz w:val="20"/>
          <w:u w:val="single"/>
        </w:rPr>
        <w:t>BHC Act Affiliate</w:t>
      </w:r>
      <w:r>
        <w:rPr>
          <w:rFonts w:ascii="Times New Roman" w:hAnsi="Times New Roman"/>
          <w:sz w:val="20"/>
        </w:rPr>
        <w:t>” has the meaning assigned to the term “affiliate” in, and shall be interpreted in accordance with, 12 U.S.C. § 1841(k), (b) “</w:t>
      </w:r>
      <w:r>
        <w:rPr>
          <w:rFonts w:ascii="Times New Roman" w:hAnsi="Times New Roman"/>
          <w:b/>
          <w:sz w:val="20"/>
          <w:u w:val="single"/>
        </w:rPr>
        <w:t>Covered Entity</w:t>
      </w:r>
      <w:r>
        <w:rPr>
          <w:rFonts w:ascii="Times New Roman" w:hAnsi="Times New Roman"/>
          <w:sz w:val="20"/>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w:t>
      </w:r>
      <w:r>
        <w:rPr>
          <w:rFonts w:ascii="Times New Roman" w:hAnsi="Times New Roman"/>
          <w:b/>
          <w:sz w:val="20"/>
          <w:u w:val="single"/>
        </w:rPr>
        <w:t>Default Right</w:t>
      </w:r>
      <w:r>
        <w:rPr>
          <w:rFonts w:ascii="Times New Roman" w:hAnsi="Times New Roman"/>
          <w:sz w:val="20"/>
        </w:rPr>
        <w:t>” has the meaning assigned to that term in, and shall be interpreted in accordance with, 12 C.F.R. §§ 252.81, 47.2 or 382.1, as applicable, and (d) “</w:t>
      </w:r>
      <w:r>
        <w:rPr>
          <w:rFonts w:ascii="Times New Roman" w:hAnsi="Times New Roman"/>
          <w:b/>
          <w:sz w:val="20"/>
          <w:u w:val="single"/>
        </w:rPr>
        <w:t>U.S. Special Resolution Regime</w:t>
      </w:r>
      <w:r>
        <w:rPr>
          <w:rFonts w:ascii="Times New Roman" w:hAnsi="Times New Roman"/>
          <w:sz w:val="20"/>
        </w:rPr>
        <w:t xml:space="preserv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240" w:after="0"/>
        <w:jc w:val="center"/>
        <w:rPr>
          <w:rFonts w:ascii="Times New Roman" w:hAnsi="Times New Roman"/>
          <w:b/>
          <w:sz w:val="20"/>
        </w:rPr>
      </w:pPr>
      <w:r>
        <w:rPr>
          <w:rFonts w:ascii="Times New Roman" w:hAnsi="Times New Roman"/>
          <w:b/>
          <w:sz w:val="20"/>
        </w:rPr>
        <w:t xml:space="preserve">[Remainder of Page Intentionally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foregoing correctly sets forth the understanding between the Company and TD Cowen, please so indicate in the space provided below for that purpose, whereupon this letter shall constitute a binding agreement between the Company and TD Cowen.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96"/>
        <w:gridCol w:w="121"/>
        <w:gridCol w:w="3165"/>
      </w:tblGrid>
      <w:tr>
        <w:trPr/>
        <w:tc>
          <w:tcPr>
            <w:tcW w:w="79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6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TD SECURITIES (USA) LLC</w:t>
            </w:r>
          </w:p>
        </w:tc>
      </w:tr>
      <w:tr>
        <w:trPr>
          <w:trHeight w:val="240" w:hRule="atLeast"/>
        </w:trPr>
        <w:tc>
          <w:tcPr>
            <w:tcW w:w="796" w:type="dxa"/>
            <w:tcBorders/>
            <w:vAlign w:val="center"/>
          </w:tcPr>
          <w:p>
            <w:pPr>
              <w:pStyle w:val="TableContents"/>
              <w:bidi w:val="0"/>
              <w:spacing w:before="0" w:after="283"/>
              <w:jc w:val="left"/>
              <w:rPr>
                <w:sz w:val="4"/>
                <w:szCs w:val="4"/>
              </w:rPr>
            </w:pPr>
            <w:r>
              <w:rPr>
                <w:sz w:val="4"/>
                <w:szCs w:val="4"/>
              </w:rPr>
            </w:r>
          </w:p>
        </w:tc>
        <w:tc>
          <w:tcPr>
            <w:tcW w:w="3286" w:type="dxa"/>
            <w:gridSpan w:val="2"/>
            <w:tcBorders/>
            <w:vAlign w:val="center"/>
          </w:tcPr>
          <w:p>
            <w:pPr>
              <w:pStyle w:val="TableContents"/>
              <w:bidi w:val="0"/>
              <w:spacing w:before="0" w:after="283"/>
              <w:jc w:val="left"/>
              <w:rPr>
                <w:sz w:val="4"/>
                <w:szCs w:val="4"/>
              </w:rPr>
            </w:pPr>
            <w:r>
              <w:rPr>
                <w:sz w:val="4"/>
                <w:szCs w:val="4"/>
              </w:rPr>
            </w:r>
          </w:p>
        </w:tc>
      </w:tr>
      <w:tr>
        <w:trPr/>
        <w:tc>
          <w:tcPr>
            <w:tcW w:w="796" w:type="dxa"/>
            <w:tcBorders/>
          </w:tcPr>
          <w:p>
            <w:pPr>
              <w:pStyle w:val="TableContents"/>
              <w:bidi w:val="0"/>
              <w:spacing w:before="0" w:after="283"/>
              <w:jc w:val="left"/>
              <w:rPr/>
            </w:pPr>
            <w:r>
              <w:rPr/>
              <w:t>By:</w:t>
            </w:r>
          </w:p>
        </w:tc>
        <w:tc>
          <w:tcPr>
            <w:tcW w:w="121" w:type="dxa"/>
            <w:tcBorders/>
            <w:vAlign w:val="bottom"/>
          </w:tcPr>
          <w:p>
            <w:pPr>
              <w:pStyle w:val="TableContents"/>
              <w:bidi w:val="0"/>
              <w:spacing w:before="0" w:after="283"/>
              <w:jc w:val="left"/>
              <w:rPr/>
            </w:pPr>
            <w:r>
              <w:rPr/>
              <w:t> </w:t>
            </w:r>
          </w:p>
        </w:tc>
        <w:tc>
          <w:tcPr>
            <w:tcW w:w="316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Murphy</w:t>
            </w:r>
          </w:p>
        </w:tc>
      </w:tr>
      <w:tr>
        <w:trPr/>
        <w:tc>
          <w:tcPr>
            <w:tcW w:w="4082" w:type="dxa"/>
            <w:gridSpan w:val="3"/>
            <w:tcBorders/>
          </w:tcPr>
          <w:p>
            <w:pPr>
              <w:pStyle w:val="TableContents"/>
              <w:bidi w:val="0"/>
              <w:spacing w:before="0" w:after="283"/>
              <w:jc w:val="left"/>
              <w:rPr/>
            </w:pPr>
            <w:r>
              <w:rPr/>
              <w:t>Name: Michael Murphy</w:t>
            </w:r>
          </w:p>
        </w:tc>
      </w:tr>
      <w:tr>
        <w:trPr/>
        <w:tc>
          <w:tcPr>
            <w:tcW w:w="4082" w:type="dxa"/>
            <w:gridSpan w:val="3"/>
            <w:tcBorders/>
          </w:tcPr>
          <w:p>
            <w:pPr>
              <w:pStyle w:val="TableContents"/>
              <w:bidi w:val="0"/>
              <w:spacing w:before="0" w:after="283"/>
              <w:jc w:val="left"/>
              <w:rPr/>
            </w:pPr>
            <w:r>
              <w:rPr/>
              <w:t>Title: 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ACCEPTED as of the date first-above written: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DAMORA THERAPEUTICS, INC.</w:t>
            </w:r>
          </w:p>
        </w:tc>
      </w:tr>
      <w:tr>
        <w:trPr>
          <w:trHeight w:val="240" w:hRule="atLeast"/>
        </w:trPr>
        <w:tc>
          <w:tcPr>
            <w:tcW w:w="796" w:type="dxa"/>
            <w:tcBorders/>
            <w:vAlign w:val="center"/>
          </w:tcPr>
          <w:p>
            <w:pPr>
              <w:pStyle w:val="TableContents"/>
              <w:bidi w:val="0"/>
              <w:spacing w:before="0" w:after="283"/>
              <w:jc w:val="left"/>
              <w:rPr>
                <w:sz w:val="4"/>
                <w:szCs w:val="4"/>
              </w:rPr>
            </w:pPr>
            <w:r>
              <w:rPr>
                <w:sz w:val="4"/>
                <w:szCs w:val="4"/>
              </w:rPr>
            </w:r>
          </w:p>
        </w:tc>
        <w:tc>
          <w:tcPr>
            <w:tcW w:w="3286" w:type="dxa"/>
            <w:gridSpan w:val="2"/>
            <w:tcBorders/>
            <w:vAlign w:val="center"/>
          </w:tcPr>
          <w:p>
            <w:pPr>
              <w:pStyle w:val="TableContents"/>
              <w:bidi w:val="0"/>
              <w:spacing w:before="0" w:after="283"/>
              <w:jc w:val="left"/>
              <w:rPr>
                <w:sz w:val="4"/>
                <w:szCs w:val="4"/>
              </w:rPr>
            </w:pPr>
            <w:r>
              <w:rPr>
                <w:sz w:val="4"/>
                <w:szCs w:val="4"/>
              </w:rPr>
            </w:r>
          </w:p>
        </w:tc>
      </w:tr>
      <w:tr>
        <w:trPr/>
        <w:tc>
          <w:tcPr>
            <w:tcW w:w="796" w:type="dxa"/>
            <w:tcBorders/>
          </w:tcPr>
          <w:p>
            <w:pPr>
              <w:pStyle w:val="TableContents"/>
              <w:bidi w:val="0"/>
              <w:spacing w:before="0" w:after="283"/>
              <w:jc w:val="left"/>
              <w:rPr/>
            </w:pPr>
            <w:r>
              <w:rPr/>
              <w:t>By:</w:t>
            </w:r>
          </w:p>
        </w:tc>
        <w:tc>
          <w:tcPr>
            <w:tcW w:w="121" w:type="dxa"/>
            <w:tcBorders/>
            <w:vAlign w:val="bottom"/>
          </w:tcPr>
          <w:p>
            <w:pPr>
              <w:pStyle w:val="TableContents"/>
              <w:bidi w:val="0"/>
              <w:spacing w:before="0" w:after="283"/>
              <w:jc w:val="left"/>
              <w:rPr/>
            </w:pPr>
            <w:r>
              <w:rPr/>
              <w:t> </w:t>
            </w:r>
          </w:p>
        </w:tc>
        <w:tc>
          <w:tcPr>
            <w:tcW w:w="316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Sherwin Sattarzadeh</w:t>
            </w:r>
          </w:p>
        </w:tc>
      </w:tr>
      <w:tr>
        <w:trPr/>
        <w:tc>
          <w:tcPr>
            <w:tcW w:w="4082" w:type="dxa"/>
            <w:gridSpan w:val="3"/>
            <w:tcBorders/>
          </w:tcPr>
          <w:p>
            <w:pPr>
              <w:pStyle w:val="TableContents"/>
              <w:bidi w:val="0"/>
              <w:spacing w:before="0" w:after="283"/>
              <w:jc w:val="left"/>
              <w:rPr/>
            </w:pPr>
            <w:r>
              <w:rPr/>
              <w:t>Name: Sherwin Sattarzadeh</w:t>
            </w:r>
          </w:p>
        </w:tc>
      </w:tr>
      <w:tr>
        <w:trPr/>
        <w:tc>
          <w:tcPr>
            <w:tcW w:w="4082" w:type="dxa"/>
            <w:gridSpan w:val="3"/>
            <w:tcBorders/>
          </w:tcPr>
          <w:p>
            <w:pPr>
              <w:pStyle w:val="TableContents"/>
              <w:bidi w:val="0"/>
              <w:spacing w:before="0" w:after="283"/>
              <w:jc w:val="left"/>
              <w:rPr/>
            </w:pPr>
            <w:r>
              <w:rPr/>
              <w:t>Title: Chief Operating Officer</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u w:val="single"/>
        </w:rPr>
      </w:pPr>
      <w:r>
        <w:rPr>
          <w:rFonts w:ascii="Times New Roman" w:hAnsi="Times New Roman"/>
          <w:b/>
          <w:sz w:val="20"/>
          <w:u w:val="single"/>
        </w:rPr>
        <w:t xml:space="preserve">SCHEDULE 1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FORM OF PLACEMENT NOTICE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33"/>
        <w:gridCol w:w="125"/>
        <w:gridCol w:w="8447"/>
      </w:tblGrid>
      <w:tr>
        <w:trPr/>
        <w:tc>
          <w:tcPr>
            <w:tcW w:w="1633"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8447" w:type="dxa"/>
            <w:tcBorders/>
            <w:vAlign w:val="center"/>
          </w:tcPr>
          <w:p>
            <w:pPr>
              <w:pStyle w:val="TableContents"/>
              <w:bidi w:val="0"/>
              <w:spacing w:before="0" w:after="283"/>
              <w:jc w:val="left"/>
              <w:rPr>
                <w:sz w:val="4"/>
                <w:szCs w:val="4"/>
              </w:rPr>
            </w:pPr>
            <w:r>
              <w:rPr>
                <w:sz w:val="4"/>
                <w:szCs w:val="4"/>
              </w:rPr>
            </w:r>
          </w:p>
        </w:tc>
      </w:tr>
      <w:tr>
        <w:trPr/>
        <w:tc>
          <w:tcPr>
            <w:tcW w:w="1633" w:type="dxa"/>
            <w:tcBorders/>
          </w:tcPr>
          <w:p>
            <w:pPr>
              <w:pStyle w:val="TableContents"/>
              <w:bidi w:val="0"/>
              <w:spacing w:before="0" w:after="283"/>
              <w:jc w:val="left"/>
              <w:rPr/>
            </w:pPr>
            <w:r>
              <w:rPr/>
              <w:t>From:</w:t>
            </w:r>
          </w:p>
        </w:tc>
        <w:tc>
          <w:tcPr>
            <w:tcW w:w="125" w:type="dxa"/>
            <w:tcBorders/>
            <w:vAlign w:val="bottom"/>
          </w:tcPr>
          <w:p>
            <w:pPr>
              <w:pStyle w:val="TableContents"/>
              <w:bidi w:val="0"/>
              <w:spacing w:before="0" w:after="283"/>
              <w:jc w:val="left"/>
              <w:rPr/>
            </w:pPr>
            <w:r>
              <w:rPr/>
              <w:t>  </w:t>
            </w:r>
          </w:p>
        </w:tc>
        <w:tc>
          <w:tcPr>
            <w:tcW w:w="8447" w:type="dxa"/>
            <w:tcBorders/>
          </w:tcPr>
          <w:p>
            <w:pPr>
              <w:pStyle w:val="TableContents"/>
              <w:bidi w:val="0"/>
              <w:spacing w:before="0" w:after="283"/>
              <w:jc w:val="left"/>
              <w:rPr/>
            </w:pPr>
            <w:r>
              <w:rPr/>
              <w:t>[       ]</w:t>
            </w:r>
          </w:p>
        </w:tc>
      </w:tr>
      <w:tr>
        <w:trPr/>
        <w:tc>
          <w:tcPr>
            <w:tcW w:w="1633" w:type="dxa"/>
            <w:tcBorders/>
          </w:tcPr>
          <w:p>
            <w:pPr>
              <w:pStyle w:val="TableContents"/>
              <w:bidi w:val="0"/>
              <w:spacing w:before="0" w:after="283"/>
              <w:jc w:val="left"/>
              <w:rPr/>
            </w:pPr>
            <w:r>
              <w:rPr/>
              <w:t>Cc:</w:t>
            </w:r>
          </w:p>
        </w:tc>
        <w:tc>
          <w:tcPr>
            <w:tcW w:w="125" w:type="dxa"/>
            <w:tcBorders/>
            <w:vAlign w:val="bottom"/>
          </w:tcPr>
          <w:p>
            <w:pPr>
              <w:pStyle w:val="TableContents"/>
              <w:bidi w:val="0"/>
              <w:spacing w:before="0" w:after="283"/>
              <w:jc w:val="left"/>
              <w:rPr/>
            </w:pPr>
            <w:r>
              <w:rPr/>
              <w:t>  </w:t>
            </w:r>
          </w:p>
        </w:tc>
        <w:tc>
          <w:tcPr>
            <w:tcW w:w="8447" w:type="dxa"/>
            <w:tcBorders/>
          </w:tcPr>
          <w:p>
            <w:pPr>
              <w:pStyle w:val="TableContents"/>
              <w:bidi w:val="0"/>
              <w:spacing w:before="0" w:after="283"/>
              <w:jc w:val="left"/>
              <w:rPr/>
            </w:pPr>
            <w:r>
              <w:rPr/>
              <w:t>[       ]</w:t>
            </w:r>
          </w:p>
        </w:tc>
      </w:tr>
      <w:tr>
        <w:trPr/>
        <w:tc>
          <w:tcPr>
            <w:tcW w:w="1633" w:type="dxa"/>
            <w:tcBorders/>
          </w:tcPr>
          <w:p>
            <w:pPr>
              <w:pStyle w:val="TableContents"/>
              <w:bidi w:val="0"/>
              <w:spacing w:before="0" w:after="283"/>
              <w:jc w:val="left"/>
              <w:rPr/>
            </w:pPr>
            <w:r>
              <w:rPr/>
              <w:t>To:</w:t>
            </w:r>
          </w:p>
        </w:tc>
        <w:tc>
          <w:tcPr>
            <w:tcW w:w="125" w:type="dxa"/>
            <w:tcBorders/>
            <w:vAlign w:val="bottom"/>
          </w:tcPr>
          <w:p>
            <w:pPr>
              <w:pStyle w:val="TableContents"/>
              <w:bidi w:val="0"/>
              <w:spacing w:before="0" w:after="283"/>
              <w:jc w:val="left"/>
              <w:rPr/>
            </w:pPr>
            <w:r>
              <w:rPr/>
              <w:t>  </w:t>
            </w:r>
          </w:p>
        </w:tc>
        <w:tc>
          <w:tcPr>
            <w:tcW w:w="8447" w:type="dxa"/>
            <w:tcBorders/>
          </w:tcPr>
          <w:p>
            <w:pPr>
              <w:pStyle w:val="TableContents"/>
              <w:bidi w:val="0"/>
              <w:spacing w:before="0" w:after="283"/>
              <w:jc w:val="left"/>
              <w:rPr/>
            </w:pPr>
            <w:r>
              <w:rPr/>
              <w:t>[       ]</w:t>
            </w:r>
          </w:p>
        </w:tc>
      </w:tr>
      <w:tr>
        <w:trPr/>
        <w:tc>
          <w:tcPr>
            <w:tcW w:w="1633" w:type="dxa"/>
            <w:tcBorders/>
          </w:tcPr>
          <w:p>
            <w:pPr>
              <w:pStyle w:val="TableContents"/>
              <w:bidi w:val="0"/>
              <w:spacing w:before="0" w:after="283"/>
              <w:jc w:val="left"/>
              <w:rPr/>
            </w:pPr>
            <w:r>
              <w:rPr/>
              <w:t>Subject:</w:t>
            </w:r>
          </w:p>
        </w:tc>
        <w:tc>
          <w:tcPr>
            <w:tcW w:w="125" w:type="dxa"/>
            <w:tcBorders/>
            <w:vAlign w:val="bottom"/>
          </w:tcPr>
          <w:p>
            <w:pPr>
              <w:pStyle w:val="TableContents"/>
              <w:bidi w:val="0"/>
              <w:spacing w:before="0" w:after="283"/>
              <w:jc w:val="left"/>
              <w:rPr/>
            </w:pPr>
            <w:r>
              <w:rPr/>
              <w:t>  </w:t>
            </w:r>
          </w:p>
        </w:tc>
        <w:tc>
          <w:tcPr>
            <w:tcW w:w="8447" w:type="dxa"/>
            <w:tcBorders/>
          </w:tcPr>
          <w:p>
            <w:pPr>
              <w:pStyle w:val="TableContents"/>
              <w:bidi w:val="0"/>
              <w:spacing w:before="0" w:after="283"/>
              <w:jc w:val="left"/>
              <w:rPr/>
            </w:pPr>
            <w:r>
              <w:rPr/>
              <w:t>TD Cowen At the Market Offering—Placement Notice</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Whom It May Concern: </w:t>
      </w:r>
    </w:p>
    <w:p>
      <w:pPr>
        <w:pStyle w:val="TextBody"/>
        <w:bidi w:val="0"/>
        <w:spacing w:before="120" w:after="0"/>
        <w:jc w:val="left"/>
        <w:rPr>
          <w:rFonts w:ascii="Times New Roman" w:hAnsi="Times New Roman"/>
          <w:sz w:val="20"/>
        </w:rPr>
      </w:pPr>
      <w:r>
        <w:rPr>
          <w:rFonts w:ascii="Times New Roman" w:hAnsi="Times New Roman"/>
          <w:sz w:val="20"/>
        </w:rPr>
        <w:t>Pursuant to the terms and subject to the conditions contained in the Amended and Restated Sales Agreement between Damora Therapeutics, Inc., a Cayman Islands exempted company (the “</w:t>
      </w:r>
      <w:r>
        <w:rPr>
          <w:rFonts w:ascii="Times New Roman" w:hAnsi="Times New Roman"/>
          <w:sz w:val="20"/>
          <w:u w:val="single"/>
        </w:rPr>
        <w:t>Company</w:t>
      </w:r>
      <w:r>
        <w:rPr>
          <w:rFonts w:ascii="Times New Roman" w:hAnsi="Times New Roman"/>
          <w:sz w:val="20"/>
        </w:rPr>
        <w:t>”) and TD Securities (USA) LLC (“</w:t>
      </w:r>
      <w:r>
        <w:rPr>
          <w:rFonts w:ascii="Times New Roman" w:hAnsi="Times New Roman"/>
          <w:sz w:val="20"/>
          <w:u w:val="single"/>
        </w:rPr>
        <w:t>TD Cowen</w:t>
      </w:r>
      <w:r>
        <w:rPr>
          <w:rFonts w:ascii="Times New Roman" w:hAnsi="Times New Roman"/>
          <w:sz w:val="20"/>
        </w:rPr>
        <w:t>”) dated August 10, 2026 (the “</w:t>
      </w:r>
      <w:r>
        <w:rPr>
          <w:rFonts w:ascii="Times New Roman" w:hAnsi="Times New Roman"/>
          <w:sz w:val="20"/>
          <w:u w:val="single"/>
        </w:rPr>
        <w:t>Agreement</w:t>
      </w:r>
      <w:r>
        <w:rPr>
          <w:rFonts w:ascii="Times New Roman" w:hAnsi="Times New Roman"/>
          <w:sz w:val="20"/>
        </w:rPr>
        <w:t xml:space="preserve">”), I hereby request on behalf of the Company that TD Cowen sell up to [●] of the Company’s Ordinary Shares, par value $0.00001 per share, at a minimum market price of $_______ per share. Sales should begin on the date of this Notice and shall continue until [DATE] [all shares are sold].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u w:val="single"/>
        </w:rPr>
      </w:pPr>
      <w:r>
        <w:rPr>
          <w:rFonts w:ascii="Times New Roman" w:hAnsi="Times New Roman"/>
          <w:b/>
          <w:sz w:val="20"/>
          <w:u w:val="single"/>
        </w:rPr>
        <w:t xml:space="preserve">SCHEDULE 2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Notice Parties </w:t>
      </w:r>
    </w:p>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Company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78"/>
        <w:gridCol w:w="121"/>
        <w:gridCol w:w="8006"/>
      </w:tblGrid>
      <w:tr>
        <w:trPr/>
        <w:tc>
          <w:tcPr>
            <w:tcW w:w="207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8006" w:type="dxa"/>
            <w:tcBorders/>
            <w:vAlign w:val="center"/>
          </w:tcPr>
          <w:p>
            <w:pPr>
              <w:pStyle w:val="TableContents"/>
              <w:bidi w:val="0"/>
              <w:spacing w:before="0" w:after="283"/>
              <w:jc w:val="left"/>
              <w:rPr>
                <w:sz w:val="4"/>
                <w:szCs w:val="4"/>
              </w:rPr>
            </w:pPr>
            <w:r>
              <w:rPr>
                <w:sz w:val="4"/>
                <w:szCs w:val="4"/>
              </w:rPr>
            </w:r>
          </w:p>
        </w:tc>
      </w:tr>
      <w:tr>
        <w:trPr/>
        <w:tc>
          <w:tcPr>
            <w:tcW w:w="2078" w:type="dxa"/>
            <w:tcBorders/>
          </w:tcPr>
          <w:p>
            <w:pPr>
              <w:pStyle w:val="TableContents"/>
              <w:bidi w:val="0"/>
              <w:spacing w:before="0" w:after="283"/>
              <w:jc w:val="left"/>
              <w:rPr/>
            </w:pPr>
            <w:r>
              <w:rPr/>
              <w:t>Jennifer Jarrett</w:t>
            </w:r>
          </w:p>
        </w:tc>
        <w:tc>
          <w:tcPr>
            <w:tcW w:w="121" w:type="dxa"/>
            <w:tcBorders/>
            <w:vAlign w:val="bottom"/>
          </w:tcPr>
          <w:p>
            <w:pPr>
              <w:pStyle w:val="TableContents"/>
              <w:bidi w:val="0"/>
              <w:spacing w:before="0" w:after="283"/>
              <w:jc w:val="left"/>
              <w:rPr/>
            </w:pPr>
            <w:r>
              <w:rPr/>
              <w:t>  </w:t>
            </w:r>
          </w:p>
        </w:tc>
        <w:tc>
          <w:tcPr>
            <w:tcW w:w="8006" w:type="dxa"/>
            <w:tcBorders/>
          </w:tcPr>
          <w:p>
            <w:pPr>
              <w:pStyle w:val="TableContents"/>
              <w:bidi w:val="0"/>
              <w:spacing w:before="0" w:after="283"/>
              <w:jc w:val="left"/>
              <w:rPr/>
            </w:pPr>
            <w:r>
              <w:rPr/>
              <w:t>President and Chief Executive Officer</w:t>
            </w:r>
          </w:p>
        </w:tc>
      </w:tr>
      <w:tr>
        <w:trPr>
          <w:trHeight w:val="120" w:hRule="atLeast"/>
        </w:trPr>
        <w:tc>
          <w:tcPr>
            <w:tcW w:w="2078" w:type="dxa"/>
            <w:tcBorders/>
            <w:vAlign w:val="center"/>
          </w:tcPr>
          <w:p>
            <w:pPr>
              <w:pStyle w:val="TableContents"/>
              <w:bidi w:val="0"/>
              <w:spacing w:before="0" w:after="283"/>
              <w:jc w:val="left"/>
              <w:rPr>
                <w:sz w:val="4"/>
                <w:szCs w:val="4"/>
              </w:rPr>
            </w:pPr>
            <w:r>
              <w:rPr>
                <w:sz w:val="4"/>
                <w:szCs w:val="4"/>
              </w:rPr>
            </w:r>
          </w:p>
        </w:tc>
        <w:tc>
          <w:tcPr>
            <w:tcW w:w="8127" w:type="dxa"/>
            <w:gridSpan w:val="2"/>
            <w:tcBorders/>
            <w:vAlign w:val="center"/>
          </w:tcPr>
          <w:p>
            <w:pPr>
              <w:pStyle w:val="TableContents"/>
              <w:bidi w:val="0"/>
              <w:spacing w:before="0" w:after="283"/>
              <w:jc w:val="left"/>
              <w:rPr>
                <w:sz w:val="4"/>
                <w:szCs w:val="4"/>
              </w:rPr>
            </w:pPr>
            <w:r>
              <w:rPr>
                <w:sz w:val="4"/>
                <w:szCs w:val="4"/>
              </w:rPr>
            </w:r>
          </w:p>
        </w:tc>
      </w:tr>
      <w:tr>
        <w:trPr/>
        <w:tc>
          <w:tcPr>
            <w:tcW w:w="2078" w:type="dxa"/>
            <w:tcBorders/>
          </w:tcPr>
          <w:p>
            <w:pPr>
              <w:pStyle w:val="TableContents"/>
              <w:bidi w:val="0"/>
              <w:spacing w:before="0" w:after="283"/>
              <w:jc w:val="left"/>
              <w:rPr/>
            </w:pPr>
            <w:r>
              <w:rPr/>
              <w:t>Sherwin Sattarzadeh</w:t>
            </w:r>
          </w:p>
        </w:tc>
        <w:tc>
          <w:tcPr>
            <w:tcW w:w="121" w:type="dxa"/>
            <w:tcBorders/>
            <w:vAlign w:val="bottom"/>
          </w:tcPr>
          <w:p>
            <w:pPr>
              <w:pStyle w:val="TableContents"/>
              <w:bidi w:val="0"/>
              <w:spacing w:before="0" w:after="283"/>
              <w:jc w:val="left"/>
              <w:rPr/>
            </w:pPr>
            <w:r>
              <w:rPr/>
              <w:t>  </w:t>
            </w:r>
          </w:p>
        </w:tc>
        <w:tc>
          <w:tcPr>
            <w:tcW w:w="8006" w:type="dxa"/>
            <w:tcBorders/>
          </w:tcPr>
          <w:p>
            <w:pPr>
              <w:pStyle w:val="TableContents"/>
              <w:bidi w:val="0"/>
              <w:spacing w:before="0" w:after="283"/>
              <w:jc w:val="left"/>
              <w:rPr/>
            </w:pPr>
            <w:r>
              <w:rPr/>
              <w:t>Chief Operating Officer</w:t>
            </w:r>
          </w:p>
        </w:tc>
      </w:tr>
      <w:tr>
        <w:trPr>
          <w:trHeight w:val="120" w:hRule="atLeast"/>
        </w:trPr>
        <w:tc>
          <w:tcPr>
            <w:tcW w:w="2078" w:type="dxa"/>
            <w:tcBorders/>
            <w:vAlign w:val="center"/>
          </w:tcPr>
          <w:p>
            <w:pPr>
              <w:pStyle w:val="TableContents"/>
              <w:bidi w:val="0"/>
              <w:spacing w:before="0" w:after="283"/>
              <w:jc w:val="left"/>
              <w:rPr>
                <w:sz w:val="4"/>
                <w:szCs w:val="4"/>
              </w:rPr>
            </w:pPr>
            <w:r>
              <w:rPr>
                <w:sz w:val="4"/>
                <w:szCs w:val="4"/>
              </w:rPr>
            </w:r>
          </w:p>
        </w:tc>
        <w:tc>
          <w:tcPr>
            <w:tcW w:w="8127" w:type="dxa"/>
            <w:gridSpan w:val="2"/>
            <w:tcBorders/>
            <w:vAlign w:val="center"/>
          </w:tcPr>
          <w:p>
            <w:pPr>
              <w:pStyle w:val="TableContents"/>
              <w:bidi w:val="0"/>
              <w:spacing w:before="0" w:after="283"/>
              <w:jc w:val="left"/>
              <w:rPr>
                <w:sz w:val="4"/>
                <w:szCs w:val="4"/>
              </w:rPr>
            </w:pPr>
            <w:r>
              <w:rPr>
                <w:sz w:val="4"/>
                <w:szCs w:val="4"/>
              </w:rPr>
            </w:r>
          </w:p>
        </w:tc>
      </w:tr>
      <w:tr>
        <w:trPr/>
        <w:tc>
          <w:tcPr>
            <w:tcW w:w="2078" w:type="dxa"/>
            <w:tcBorders/>
          </w:tcPr>
          <w:p>
            <w:pPr>
              <w:pStyle w:val="TableContents"/>
              <w:bidi w:val="0"/>
              <w:spacing w:before="0" w:after="283"/>
              <w:jc w:val="left"/>
              <w:rPr/>
            </w:pPr>
            <w:r>
              <w:rPr/>
              <w:t>Brian Burkavage</w:t>
            </w:r>
          </w:p>
        </w:tc>
        <w:tc>
          <w:tcPr>
            <w:tcW w:w="121" w:type="dxa"/>
            <w:tcBorders/>
            <w:vAlign w:val="bottom"/>
          </w:tcPr>
          <w:p>
            <w:pPr>
              <w:pStyle w:val="TableContents"/>
              <w:bidi w:val="0"/>
              <w:spacing w:before="0" w:after="283"/>
              <w:jc w:val="left"/>
              <w:rPr/>
            </w:pPr>
            <w:r>
              <w:rPr/>
              <w:t>  </w:t>
            </w:r>
          </w:p>
        </w:tc>
        <w:tc>
          <w:tcPr>
            <w:tcW w:w="8006" w:type="dxa"/>
            <w:tcBorders/>
          </w:tcPr>
          <w:p>
            <w:pPr>
              <w:pStyle w:val="TableContents"/>
              <w:bidi w:val="0"/>
              <w:spacing w:before="0" w:after="283"/>
              <w:jc w:val="left"/>
              <w:rPr/>
            </w:pPr>
            <w:r>
              <w:rPr/>
              <w:t>SVP, Finance</w:t>
            </w:r>
          </w:p>
        </w:tc>
      </w:tr>
      <w:tr>
        <w:trPr>
          <w:trHeight w:val="120" w:hRule="atLeast"/>
        </w:trPr>
        <w:tc>
          <w:tcPr>
            <w:tcW w:w="2078" w:type="dxa"/>
            <w:tcBorders/>
            <w:vAlign w:val="center"/>
          </w:tcPr>
          <w:p>
            <w:pPr>
              <w:pStyle w:val="TableContents"/>
              <w:bidi w:val="0"/>
              <w:spacing w:before="0" w:after="283"/>
              <w:jc w:val="left"/>
              <w:rPr>
                <w:sz w:val="4"/>
                <w:szCs w:val="4"/>
              </w:rPr>
            </w:pPr>
            <w:r>
              <w:rPr>
                <w:sz w:val="4"/>
                <w:szCs w:val="4"/>
              </w:rPr>
            </w:r>
          </w:p>
        </w:tc>
        <w:tc>
          <w:tcPr>
            <w:tcW w:w="8127" w:type="dxa"/>
            <w:gridSpan w:val="2"/>
            <w:tcBorders/>
            <w:vAlign w:val="center"/>
          </w:tcPr>
          <w:p>
            <w:pPr>
              <w:pStyle w:val="TableContents"/>
              <w:bidi w:val="0"/>
              <w:spacing w:before="0" w:after="283"/>
              <w:jc w:val="left"/>
              <w:rPr>
                <w:sz w:val="4"/>
                <w:szCs w:val="4"/>
              </w:rPr>
            </w:pPr>
            <w:r>
              <w:rPr>
                <w:sz w:val="4"/>
                <w:szCs w:val="4"/>
              </w:rPr>
            </w:r>
          </w:p>
        </w:tc>
      </w:tr>
      <w:tr>
        <w:trPr/>
        <w:tc>
          <w:tcPr>
            <w:tcW w:w="2078" w:type="dxa"/>
            <w:tcBorders/>
          </w:tcPr>
          <w:p>
            <w:pPr>
              <w:pStyle w:val="TableContents"/>
              <w:bidi w:val="0"/>
              <w:spacing w:before="0" w:after="283"/>
              <w:jc w:val="left"/>
              <w:rPr/>
            </w:pPr>
            <w:r>
              <w:rPr/>
              <w:t>Garrett Winslow</w:t>
            </w:r>
          </w:p>
        </w:tc>
        <w:tc>
          <w:tcPr>
            <w:tcW w:w="121" w:type="dxa"/>
            <w:tcBorders/>
            <w:vAlign w:val="bottom"/>
          </w:tcPr>
          <w:p>
            <w:pPr>
              <w:pStyle w:val="TableContents"/>
              <w:bidi w:val="0"/>
              <w:spacing w:before="0" w:after="283"/>
              <w:jc w:val="left"/>
              <w:rPr/>
            </w:pPr>
            <w:r>
              <w:rPr/>
              <w:t>  </w:t>
            </w:r>
          </w:p>
        </w:tc>
        <w:tc>
          <w:tcPr>
            <w:tcW w:w="8006" w:type="dxa"/>
            <w:tcBorders/>
          </w:tcPr>
          <w:p>
            <w:pPr>
              <w:pStyle w:val="TableContents"/>
              <w:bidi w:val="0"/>
              <w:spacing w:before="0" w:after="283"/>
              <w:jc w:val="left"/>
              <w:rPr/>
            </w:pPr>
            <w:r>
              <w:rPr/>
              <w:t>General Counsel</w:t>
            </w:r>
          </w:p>
        </w:tc>
      </w:tr>
    </w:tbl>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TD Cowen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37"/>
        <w:gridCol w:w="124"/>
        <w:gridCol w:w="8044"/>
      </w:tblGrid>
      <w:tr>
        <w:trPr/>
        <w:tc>
          <w:tcPr>
            <w:tcW w:w="2037"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8044" w:type="dxa"/>
            <w:tcBorders/>
            <w:vAlign w:val="center"/>
          </w:tcPr>
          <w:p>
            <w:pPr>
              <w:pStyle w:val="TableContents"/>
              <w:bidi w:val="0"/>
              <w:spacing w:before="0" w:after="283"/>
              <w:jc w:val="left"/>
              <w:rPr>
                <w:sz w:val="4"/>
                <w:szCs w:val="4"/>
              </w:rPr>
            </w:pPr>
            <w:r>
              <w:rPr>
                <w:sz w:val="4"/>
                <w:szCs w:val="4"/>
              </w:rPr>
            </w:r>
          </w:p>
        </w:tc>
      </w:tr>
      <w:tr>
        <w:trPr/>
        <w:tc>
          <w:tcPr>
            <w:tcW w:w="2037" w:type="dxa"/>
            <w:tcBorders/>
          </w:tcPr>
          <w:p>
            <w:pPr>
              <w:pStyle w:val="TableContents"/>
              <w:bidi w:val="0"/>
              <w:spacing w:before="0" w:after="283"/>
              <w:jc w:val="left"/>
              <w:rPr/>
            </w:pPr>
            <w:r>
              <w:rPr/>
              <w:t>Michael J. Murphy</w:t>
            </w:r>
          </w:p>
        </w:tc>
        <w:tc>
          <w:tcPr>
            <w:tcW w:w="124" w:type="dxa"/>
            <w:tcBorders/>
            <w:vAlign w:val="bottom"/>
          </w:tcPr>
          <w:p>
            <w:pPr>
              <w:pStyle w:val="TableContents"/>
              <w:bidi w:val="0"/>
              <w:spacing w:before="0" w:after="283"/>
              <w:jc w:val="left"/>
              <w:rPr/>
            </w:pPr>
            <w:r>
              <w:rPr/>
              <w:t>  </w:t>
            </w:r>
          </w:p>
        </w:tc>
        <w:tc>
          <w:tcPr>
            <w:tcW w:w="8044" w:type="dxa"/>
            <w:tcBorders/>
          </w:tcPr>
          <w:p>
            <w:pPr>
              <w:pStyle w:val="TableContents"/>
              <w:bidi w:val="0"/>
              <w:spacing w:before="0" w:after="283"/>
              <w:jc w:val="left"/>
              <w:rPr/>
            </w:pPr>
            <w:r>
              <w:rPr/>
              <w:t>Managing Director</w:t>
            </w:r>
          </w:p>
        </w:tc>
      </w:tr>
      <w:tr>
        <w:trPr>
          <w:trHeight w:val="120" w:hRule="atLeast"/>
        </w:trPr>
        <w:tc>
          <w:tcPr>
            <w:tcW w:w="2037" w:type="dxa"/>
            <w:tcBorders/>
            <w:vAlign w:val="center"/>
          </w:tcPr>
          <w:p>
            <w:pPr>
              <w:pStyle w:val="TableContents"/>
              <w:bidi w:val="0"/>
              <w:spacing w:before="0" w:after="283"/>
              <w:jc w:val="left"/>
              <w:rPr>
                <w:sz w:val="4"/>
                <w:szCs w:val="4"/>
              </w:rPr>
            </w:pPr>
            <w:r>
              <w:rPr>
                <w:sz w:val="4"/>
                <w:szCs w:val="4"/>
              </w:rPr>
            </w:r>
          </w:p>
        </w:tc>
        <w:tc>
          <w:tcPr>
            <w:tcW w:w="8168" w:type="dxa"/>
            <w:gridSpan w:val="2"/>
            <w:tcBorders/>
            <w:vAlign w:val="center"/>
          </w:tcPr>
          <w:p>
            <w:pPr>
              <w:pStyle w:val="TableContents"/>
              <w:bidi w:val="0"/>
              <w:spacing w:before="0" w:after="283"/>
              <w:jc w:val="left"/>
              <w:rPr>
                <w:sz w:val="4"/>
                <w:szCs w:val="4"/>
              </w:rPr>
            </w:pPr>
            <w:r>
              <w:rPr>
                <w:sz w:val="4"/>
                <w:szCs w:val="4"/>
              </w:rPr>
            </w:r>
          </w:p>
        </w:tc>
      </w:tr>
      <w:tr>
        <w:trPr/>
        <w:tc>
          <w:tcPr>
            <w:tcW w:w="2037" w:type="dxa"/>
            <w:tcBorders/>
          </w:tcPr>
          <w:p>
            <w:pPr>
              <w:pStyle w:val="TableContents"/>
              <w:bidi w:val="0"/>
              <w:spacing w:before="0" w:after="283"/>
              <w:jc w:val="left"/>
              <w:rPr/>
            </w:pPr>
            <w:r>
              <w:rPr/>
              <w:t>William Follis</w:t>
            </w:r>
          </w:p>
        </w:tc>
        <w:tc>
          <w:tcPr>
            <w:tcW w:w="124" w:type="dxa"/>
            <w:tcBorders/>
            <w:vAlign w:val="bottom"/>
          </w:tcPr>
          <w:p>
            <w:pPr>
              <w:pStyle w:val="TableContents"/>
              <w:bidi w:val="0"/>
              <w:spacing w:before="0" w:after="283"/>
              <w:jc w:val="left"/>
              <w:rPr/>
            </w:pPr>
            <w:r>
              <w:rPr/>
              <w:t>  </w:t>
            </w:r>
          </w:p>
        </w:tc>
        <w:tc>
          <w:tcPr>
            <w:tcW w:w="8044" w:type="dxa"/>
            <w:tcBorders/>
          </w:tcPr>
          <w:p>
            <w:pPr>
              <w:pStyle w:val="TableContents"/>
              <w:bidi w:val="0"/>
              <w:spacing w:before="0" w:after="283"/>
              <w:jc w:val="left"/>
              <w:rPr/>
            </w:pPr>
            <w:r>
              <w:rPr/>
              <w:t>Managing Director</w:t>
            </w:r>
          </w:p>
        </w:tc>
      </w:tr>
      <w:tr>
        <w:trPr>
          <w:trHeight w:val="120" w:hRule="atLeast"/>
        </w:trPr>
        <w:tc>
          <w:tcPr>
            <w:tcW w:w="2037" w:type="dxa"/>
            <w:tcBorders/>
            <w:vAlign w:val="center"/>
          </w:tcPr>
          <w:p>
            <w:pPr>
              <w:pStyle w:val="TableContents"/>
              <w:bidi w:val="0"/>
              <w:spacing w:before="0" w:after="283"/>
              <w:jc w:val="left"/>
              <w:rPr>
                <w:sz w:val="4"/>
                <w:szCs w:val="4"/>
              </w:rPr>
            </w:pPr>
            <w:r>
              <w:rPr>
                <w:sz w:val="4"/>
                <w:szCs w:val="4"/>
              </w:rPr>
            </w:r>
          </w:p>
        </w:tc>
        <w:tc>
          <w:tcPr>
            <w:tcW w:w="8168" w:type="dxa"/>
            <w:gridSpan w:val="2"/>
            <w:tcBorders/>
            <w:vAlign w:val="center"/>
          </w:tcPr>
          <w:p>
            <w:pPr>
              <w:pStyle w:val="TableContents"/>
              <w:bidi w:val="0"/>
              <w:spacing w:before="0" w:after="283"/>
              <w:jc w:val="left"/>
              <w:rPr>
                <w:sz w:val="4"/>
                <w:szCs w:val="4"/>
              </w:rPr>
            </w:pPr>
            <w:r>
              <w:rPr>
                <w:sz w:val="4"/>
                <w:szCs w:val="4"/>
              </w:rPr>
            </w:r>
          </w:p>
        </w:tc>
      </w:tr>
      <w:tr>
        <w:trPr/>
        <w:tc>
          <w:tcPr>
            <w:tcW w:w="2037" w:type="dxa"/>
            <w:tcBorders/>
          </w:tcPr>
          <w:p>
            <w:pPr>
              <w:pStyle w:val="TableContents"/>
              <w:bidi w:val="0"/>
              <w:spacing w:before="0" w:after="283"/>
              <w:jc w:val="left"/>
              <w:rPr/>
            </w:pPr>
            <w:r>
              <w:rPr/>
              <w:t>Adriano Pierroz</w:t>
            </w:r>
          </w:p>
        </w:tc>
        <w:tc>
          <w:tcPr>
            <w:tcW w:w="124" w:type="dxa"/>
            <w:tcBorders/>
            <w:vAlign w:val="bottom"/>
          </w:tcPr>
          <w:p>
            <w:pPr>
              <w:pStyle w:val="TableContents"/>
              <w:bidi w:val="0"/>
              <w:spacing w:before="0" w:after="283"/>
              <w:jc w:val="left"/>
              <w:rPr/>
            </w:pPr>
            <w:r>
              <w:rPr/>
              <w:t>  </w:t>
            </w:r>
          </w:p>
        </w:tc>
        <w:tc>
          <w:tcPr>
            <w:tcW w:w="8044" w:type="dxa"/>
            <w:tcBorders/>
          </w:tcPr>
          <w:p>
            <w:pPr>
              <w:pStyle w:val="TableContents"/>
              <w:bidi w:val="0"/>
              <w:spacing w:before="0" w:after="283"/>
              <w:jc w:val="left"/>
              <w:rPr/>
            </w:pPr>
            <w:r>
              <w:rPr/>
              <w:t>Director</w:t>
            </w:r>
          </w:p>
        </w:tc>
      </w:tr>
      <w:tr>
        <w:trPr>
          <w:trHeight w:val="120" w:hRule="atLeast"/>
        </w:trPr>
        <w:tc>
          <w:tcPr>
            <w:tcW w:w="2037" w:type="dxa"/>
            <w:tcBorders/>
            <w:vAlign w:val="center"/>
          </w:tcPr>
          <w:p>
            <w:pPr>
              <w:pStyle w:val="TableContents"/>
              <w:bidi w:val="0"/>
              <w:spacing w:before="0" w:after="283"/>
              <w:jc w:val="left"/>
              <w:rPr>
                <w:sz w:val="4"/>
                <w:szCs w:val="4"/>
              </w:rPr>
            </w:pPr>
            <w:r>
              <w:rPr>
                <w:sz w:val="4"/>
                <w:szCs w:val="4"/>
              </w:rPr>
            </w:r>
          </w:p>
        </w:tc>
        <w:tc>
          <w:tcPr>
            <w:tcW w:w="8168" w:type="dxa"/>
            <w:gridSpan w:val="2"/>
            <w:tcBorders/>
            <w:vAlign w:val="center"/>
          </w:tcPr>
          <w:p>
            <w:pPr>
              <w:pStyle w:val="TableContents"/>
              <w:bidi w:val="0"/>
              <w:spacing w:before="0" w:after="283"/>
              <w:jc w:val="left"/>
              <w:rPr>
                <w:sz w:val="4"/>
                <w:szCs w:val="4"/>
              </w:rPr>
            </w:pPr>
            <w:r>
              <w:rPr>
                <w:sz w:val="4"/>
                <w:szCs w:val="4"/>
              </w:rPr>
            </w:r>
          </w:p>
        </w:tc>
      </w:tr>
      <w:tr>
        <w:trPr/>
        <w:tc>
          <w:tcPr>
            <w:tcW w:w="2037" w:type="dxa"/>
            <w:tcBorders/>
          </w:tcPr>
          <w:p>
            <w:pPr>
              <w:pStyle w:val="TableContents"/>
              <w:bidi w:val="0"/>
              <w:spacing w:before="0" w:after="283"/>
              <w:jc w:val="left"/>
              <w:rPr/>
            </w:pPr>
            <w:r>
              <w:rPr/>
              <w:t>Megan Sanford</w:t>
            </w:r>
          </w:p>
        </w:tc>
        <w:tc>
          <w:tcPr>
            <w:tcW w:w="124" w:type="dxa"/>
            <w:tcBorders/>
            <w:vAlign w:val="bottom"/>
          </w:tcPr>
          <w:p>
            <w:pPr>
              <w:pStyle w:val="TableContents"/>
              <w:bidi w:val="0"/>
              <w:spacing w:before="0" w:after="283"/>
              <w:jc w:val="left"/>
              <w:rPr/>
            </w:pPr>
            <w:r>
              <w:rPr/>
              <w:t>  </w:t>
            </w:r>
          </w:p>
        </w:tc>
        <w:tc>
          <w:tcPr>
            <w:tcW w:w="8044" w:type="dxa"/>
            <w:tcBorders/>
          </w:tcPr>
          <w:p>
            <w:pPr>
              <w:pStyle w:val="TableContents"/>
              <w:bidi w:val="0"/>
              <w:spacing w:before="0" w:after="283"/>
              <w:jc w:val="left"/>
              <w:rPr/>
            </w:pPr>
            <w:r>
              <w:rPr/>
              <w:t>Associate</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u w:val="single"/>
        </w:rPr>
      </w:pPr>
      <w:r>
        <w:rPr>
          <w:rFonts w:ascii="Times New Roman" w:hAnsi="Times New Roman"/>
          <w:b/>
          <w:sz w:val="20"/>
          <w:u w:val="single"/>
        </w:rPr>
        <w:t xml:space="preserve">SCHEDULE 3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Compensation </w:t>
      </w:r>
    </w:p>
    <w:p>
      <w:pPr>
        <w:pStyle w:val="TextBody"/>
        <w:bidi w:val="0"/>
        <w:spacing w:before="240" w:after="0"/>
        <w:jc w:val="left"/>
        <w:rPr>
          <w:rFonts w:ascii="Times New Roman" w:hAnsi="Times New Roman"/>
          <w:sz w:val="20"/>
        </w:rPr>
      </w:pPr>
      <w:r>
        <w:rPr>
          <w:rFonts w:ascii="Times New Roman" w:hAnsi="Times New Roman"/>
          <w:sz w:val="20"/>
        </w:rPr>
        <w:t xml:space="preserve">TD Cowen shall be paid compensation up to 3.0% of the gross proceeds from the sales of Ordinary Shares pursuant to the terms of this Agreement.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u w:val="single"/>
        </w:rPr>
      </w:pPr>
      <w:r>
        <w:rPr>
          <w:rFonts w:ascii="Times New Roman" w:hAnsi="Times New Roman"/>
          <w:b/>
          <w:sz w:val="20"/>
          <w:u w:val="single"/>
        </w:rPr>
        <w:t xml:space="preserve">Exhibit 7(m)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OFFICER CERTIFICATE </w:t>
      </w:r>
    </w:p>
    <w:p>
      <w:pPr>
        <w:pStyle w:val="TextBody"/>
        <w:bidi w:val="0"/>
        <w:spacing w:before="240" w:after="0"/>
        <w:jc w:val="left"/>
        <w:rPr>
          <w:rFonts w:ascii="Times New Roman" w:hAnsi="Times New Roman"/>
          <w:sz w:val="20"/>
        </w:rPr>
      </w:pPr>
      <w:r>
        <w:rPr>
          <w:rFonts w:ascii="Times New Roman" w:hAnsi="Times New Roman"/>
          <w:sz w:val="20"/>
        </w:rPr>
        <w:t>The undersigned, the duly qualified and elected _______________________, of Damora Therapeutics, Inc. (“</w:t>
      </w:r>
      <w:r>
        <w:rPr>
          <w:rFonts w:ascii="Times New Roman" w:hAnsi="Times New Roman"/>
          <w:b/>
          <w:sz w:val="20"/>
          <w:u w:val="single"/>
        </w:rPr>
        <w:t>Company</w:t>
      </w:r>
      <w:r>
        <w:rPr>
          <w:rFonts w:ascii="Times New Roman" w:hAnsi="Times New Roman"/>
          <w:sz w:val="20"/>
        </w:rPr>
        <w:t xml:space="preserve">”), a Cayman Islands exempted company, does hereby certify in such capacity and on behalf of the Company, pursuant to </w:t>
      </w:r>
      <w:r>
        <w:rPr>
          <w:rFonts w:ascii="Times New Roman" w:hAnsi="Times New Roman"/>
          <w:sz w:val="20"/>
          <w:u w:val="single"/>
        </w:rPr>
        <w:t>Section 7(m)</w:t>
      </w:r>
      <w:r>
        <w:rPr>
          <w:rFonts w:ascii="Times New Roman" w:hAnsi="Times New Roman"/>
          <w:sz w:val="20"/>
        </w:rPr>
        <w:t xml:space="preserve"> of the Amended and Restated Sales Agreement dated August 10, 2026 (the “</w:t>
      </w:r>
      <w:r>
        <w:rPr>
          <w:rFonts w:ascii="Times New Roman" w:hAnsi="Times New Roman"/>
          <w:b/>
          <w:sz w:val="20"/>
          <w:u w:val="single"/>
        </w:rPr>
        <w:t>Sales Agreement</w:t>
      </w:r>
      <w:r>
        <w:rPr>
          <w:rFonts w:ascii="Times New Roman" w:hAnsi="Times New Roman"/>
          <w:sz w:val="20"/>
        </w:rPr>
        <w:t xml:space="preserve">”) between the Company and TD Securities (USA) LLC, that to the knowledge of the undersigned: </w:t>
      </w:r>
    </w:p>
    <w:p>
      <w:pPr>
        <w:pStyle w:val="TextBody"/>
        <w:bidi w:val="0"/>
        <w:spacing w:before="120" w:after="0"/>
        <w:jc w:val="left"/>
        <w:rPr>
          <w:rFonts w:ascii="Times New Roman" w:hAnsi="Times New Roman"/>
          <w:sz w:val="20"/>
        </w:rPr>
      </w:pPr>
      <w:r>
        <w:rPr>
          <w:rFonts w:ascii="Times New Roman" w:hAnsi="Times New Roman"/>
          <w:sz w:val="20"/>
        </w:rPr>
        <w:t xml:space="preserve">(i) The representations and warranties of the Company in </w:t>
      </w:r>
      <w:r>
        <w:rPr>
          <w:rFonts w:ascii="Times New Roman" w:hAnsi="Times New Roman"/>
          <w:sz w:val="20"/>
          <w:u w:val="single"/>
        </w:rPr>
        <w:t>Section 6</w:t>
      </w:r>
      <w:r>
        <w:rPr>
          <w:rFonts w:ascii="Times New Roman" w:hAnsi="Times New Roman"/>
          <w:sz w:val="20"/>
        </w:rPr>
        <w:t xml:space="preserve"> of the Sales Agreement (A) to the extent such representations and warranties are subject to qualifications and exceptions contained therein relating to materiality or Material Adverse Change, are true and correct on and as of the date hereof with the same force and effect as if expressly made on and as of the date hereof, except for those representations and warranties that speak solely as of a specific date and which were true and correct as of such date, and (B) to the extent such representations and warranties are not subject to any qualifications or exceptions, are true and correct in all material respects as of the date hereof as if made on and as of the date hereof with the same force and effect as if expressly made on and as of the date hereof except for those representations and warranties that speak solely as of a specific date and which were true and correct as of such date; and </w:t>
      </w:r>
    </w:p>
    <w:p>
      <w:pPr>
        <w:pStyle w:val="TextBody"/>
        <w:bidi w:val="0"/>
        <w:spacing w:before="120" w:after="0"/>
        <w:jc w:val="left"/>
        <w:rPr>
          <w:rFonts w:ascii="Times New Roman" w:hAnsi="Times New Roman"/>
          <w:sz w:val="20"/>
        </w:rPr>
      </w:pPr>
      <w:r>
        <w:rPr>
          <w:rFonts w:ascii="Times New Roman" w:hAnsi="Times New Roman"/>
          <w:sz w:val="20"/>
        </w:rPr>
        <w:t xml:space="preserve">(ii) The Company has complied with all agreements and satisfied all conditions on its part to be performed or satisfied pursuant to the Sales Agreement at or prior to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Gibson, Dunn &amp; Crutcher LLP and Mintz, Levin, Cohn, Ferris, Glovsky &amp; Popeo, P.C. are entitled to rely on this certificate in connection with the respective opinions such firms are rendering pursuant to the Sales Agreement. </w:t>
      </w:r>
    </w:p>
    <w:p>
      <w:pPr>
        <w:pStyle w:val="TextBody"/>
        <w:bidi w:val="0"/>
        <w:spacing w:before="240" w:after="0"/>
        <w:jc w:val="left"/>
        <w:rPr>
          <w:rFonts w:ascii="Times New Roman" w:hAnsi="Times New Roman"/>
          <w:sz w:val="20"/>
        </w:rPr>
      </w:pPr>
      <w:r>
        <w:rPr>
          <w:rFonts w:ascii="Times New Roman" w:hAnsi="Times New Roman"/>
          <w:sz w:val="20"/>
        </w:rPr>
        <w:t xml:space="preserve">Capitalized terms used herein without definition shall have the meanings given to such terms in the Sales Agreement.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84"/>
        <w:gridCol w:w="61"/>
        <w:gridCol w:w="3637"/>
      </w:tblGrid>
      <w:tr>
        <w:trPr/>
        <w:tc>
          <w:tcPr>
            <w:tcW w:w="384"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37" w:type="dxa"/>
            <w:tcBorders/>
            <w:vAlign w:val="center"/>
          </w:tcPr>
          <w:p>
            <w:pPr>
              <w:pStyle w:val="TableContents"/>
              <w:bidi w:val="0"/>
              <w:spacing w:before="0" w:after="283"/>
              <w:jc w:val="left"/>
              <w:rPr>
                <w:sz w:val="4"/>
                <w:szCs w:val="4"/>
              </w:rPr>
            </w:pPr>
            <w:r>
              <w:rPr>
                <w:sz w:val="4"/>
                <w:szCs w:val="4"/>
              </w:rPr>
            </w:r>
          </w:p>
        </w:tc>
      </w:tr>
      <w:tr>
        <w:trPr/>
        <w:tc>
          <w:tcPr>
            <w:tcW w:w="384"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pBdr>
                <w:bottom w:val="single" w:sz="2" w:space="1" w:color="000000"/>
              </w:pBdr>
              <w:bidi w:val="0"/>
              <w:spacing w:before="0" w:after="20"/>
              <w:jc w:val="left"/>
              <w:rPr/>
            </w:pPr>
            <w:r>
              <w:rPr/>
              <w:t> </w:t>
            </w:r>
          </w:p>
        </w:tc>
      </w:tr>
      <w:tr>
        <w:trPr/>
        <w:tc>
          <w:tcPr>
            <w:tcW w:w="38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bidi w:val="0"/>
              <w:spacing w:before="0" w:after="283"/>
              <w:jc w:val="left"/>
              <w:rPr/>
            </w:pPr>
            <w:r>
              <w:rPr/>
              <w:t>Name:</w:t>
            </w:r>
          </w:p>
        </w:tc>
      </w:tr>
      <w:tr>
        <w:trPr/>
        <w:tc>
          <w:tcPr>
            <w:tcW w:w="38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right"/>
        <w:rPr>
          <w:rFonts w:ascii="Times New Roman" w:hAnsi="Times New Roman"/>
          <w:b/>
          <w:sz w:val="20"/>
        </w:rPr>
      </w:pPr>
      <w:bookmarkStart w:id="30" w:name="d161734dex43.htm"/>
      <w:bookmarkStart w:id="31" w:name="ksd161734dex43"/>
      <w:bookmarkEnd w:id="30"/>
      <w:bookmarkEnd w:id="31"/>
      <w:r>
        <w:rPr>
          <w:rFonts w:ascii="Times New Roman" w:hAnsi="Times New Roman"/>
          <w:b/>
          <w:sz w:val="20"/>
        </w:rPr>
        <w:t xml:space="preserve">Exhibit 4.3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DAMORA THERAPEUTICS, INC. </w:t>
      </w:r>
    </w:p>
    <w:p>
      <w:pPr>
        <w:pStyle w:val="TextBody"/>
        <w:bidi w:val="0"/>
        <w:spacing w:before="240" w:after="0"/>
        <w:jc w:val="center"/>
        <w:rPr>
          <w:rFonts w:ascii="Times New Roman" w:hAnsi="Times New Roman"/>
          <w:sz w:val="20"/>
        </w:rPr>
      </w:pPr>
      <w:r>
        <w:rPr>
          <w:rFonts w:ascii="Times New Roman" w:hAnsi="Times New Roman"/>
          <w:sz w:val="20"/>
        </w:rPr>
        <w:t xml:space="preserve">Debt Securities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Indenture </w:t>
      </w:r>
    </w:p>
    <w:p>
      <w:pPr>
        <w:pStyle w:val="TextBody"/>
        <w:bidi w:val="0"/>
        <w:spacing w:before="240" w:after="0"/>
        <w:jc w:val="center"/>
        <w:rPr>
          <w:rFonts w:ascii="Times New Roman" w:hAnsi="Times New Roman"/>
          <w:sz w:val="20"/>
        </w:rPr>
      </w:pPr>
      <w:r>
        <w:rPr>
          <w:rFonts w:ascii="Times New Roman" w:hAnsi="Times New Roman"/>
          <w:sz w:val="20"/>
        </w:rPr>
        <w:t xml:space="preserve">Dated as of    , 20 </w:t>
      </w:r>
    </w:p>
    <w:p>
      <w:pPr>
        <w:pStyle w:val="TextBody"/>
        <w:bidi w:val="0"/>
        <w:spacing w:before="240" w:after="0"/>
        <w:jc w:val="center"/>
        <w:rPr>
          <w:rFonts w:ascii="Times New Roman" w:hAnsi="Times New Roman"/>
          <w:sz w:val="20"/>
        </w:rPr>
      </w:pPr>
      <w:r>
        <w:rPr>
          <w:rFonts w:ascii="Times New Roman" w:hAnsi="Times New Roman"/>
          <w:sz w:val="20"/>
        </w:rPr>
        <w:t xml:space="preserve">[    ], </w:t>
      </w:r>
    </w:p>
    <w:p>
      <w:pPr>
        <w:pStyle w:val="TextBody"/>
        <w:bidi w:val="0"/>
        <w:spacing w:before="240" w:after="0"/>
        <w:jc w:val="center"/>
        <w:rPr>
          <w:rFonts w:ascii="Times New Roman" w:hAnsi="Times New Roman"/>
          <w:sz w:val="20"/>
        </w:rPr>
      </w:pPr>
      <w:r>
        <w:rPr>
          <w:rFonts w:ascii="Times New Roman" w:hAnsi="Times New Roman"/>
          <w:sz w:val="20"/>
        </w:rPr>
        <w:t xml:space="preserve">as Trustee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CROSS-REFERENCE TABLE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This Cross-Reference Table is not a part of the Indenture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222"/>
        <w:gridCol w:w="134"/>
        <w:gridCol w:w="1849"/>
      </w:tblGrid>
      <w:tr>
        <w:trPr/>
        <w:tc>
          <w:tcPr>
            <w:tcW w:w="8222"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r>
      <w:tr>
        <w:trPr/>
        <w:tc>
          <w:tcPr>
            <w:tcW w:w="8222" w:type="dxa"/>
            <w:tcBorders/>
            <w:vAlign w:val="bottom"/>
          </w:tcPr>
          <w:p>
            <w:pPr>
              <w:pStyle w:val="TableContents"/>
              <w:bidi w:val="0"/>
              <w:spacing w:before="0" w:after="283"/>
              <w:jc w:val="left"/>
              <w:rPr>
                <w:b/>
              </w:rPr>
            </w:pPr>
            <w:r>
              <w:rPr>
                <w:b/>
              </w:rPr>
              <w:t>TIA Section</w:t>
            </w:r>
          </w:p>
        </w:tc>
        <w:tc>
          <w:tcPr>
            <w:tcW w:w="134" w:type="dxa"/>
            <w:tcBorders/>
            <w:vAlign w:val="bottom"/>
          </w:tcPr>
          <w:p>
            <w:pPr>
              <w:pStyle w:val="TableContents"/>
              <w:bidi w:val="0"/>
              <w:spacing w:before="0" w:after="283"/>
              <w:jc w:val="left"/>
              <w:rPr/>
            </w:pPr>
            <w:r>
              <w:rPr/>
              <w:t>  </w:t>
            </w:r>
          </w:p>
        </w:tc>
        <w:tc>
          <w:tcPr>
            <w:tcW w:w="1849" w:type="dxa"/>
            <w:tcBorders/>
            <w:vAlign w:val="bottom"/>
          </w:tcPr>
          <w:p>
            <w:pPr>
              <w:pStyle w:val="TableContents"/>
              <w:bidi w:val="0"/>
              <w:spacing w:before="0" w:after="283"/>
              <w:jc w:val="center"/>
              <w:rPr>
                <w:b/>
              </w:rPr>
            </w:pPr>
            <w:r>
              <w:rPr>
                <w:b/>
              </w:rPr>
              <w:t>Indenture Section</w:t>
            </w:r>
          </w:p>
        </w:tc>
      </w:tr>
      <w:tr>
        <w:trPr/>
        <w:tc>
          <w:tcPr>
            <w:tcW w:w="8222" w:type="dxa"/>
            <w:tcBorders/>
          </w:tcPr>
          <w:p>
            <w:pPr>
              <w:pStyle w:val="TableContents"/>
              <w:bidi w:val="0"/>
              <w:spacing w:before="0" w:after="0"/>
              <w:jc w:val="left"/>
              <w:rPr>
                <w:rFonts w:ascii="Times New Roman" w:hAnsi="Times New Roman"/>
                <w:sz w:val="20"/>
              </w:rPr>
            </w:pPr>
            <w:r>
              <w:rPr>
                <w:rFonts w:ascii="Times New Roman" w:hAnsi="Times New Roman"/>
                <w:sz w:val="20"/>
              </w:rPr>
              <w:t>310(a)(1)</w:t>
            </w:r>
          </w:p>
        </w:tc>
        <w:tc>
          <w:tcPr>
            <w:tcW w:w="134" w:type="dxa"/>
            <w:tcBorders/>
            <w:vAlign w:val="bottom"/>
          </w:tcPr>
          <w:p>
            <w:pPr>
              <w:pStyle w:val="TableContents"/>
              <w:bidi w:val="0"/>
              <w:spacing w:before="0" w:after="283"/>
              <w:jc w:val="left"/>
              <w:rPr/>
            </w:pPr>
            <w:r>
              <w:rPr/>
              <w:t>  </w:t>
            </w:r>
          </w:p>
        </w:tc>
        <w:tc>
          <w:tcPr>
            <w:tcW w:w="1849" w:type="dxa"/>
            <w:tcBorders/>
            <w:vAlign w:val="bottom"/>
          </w:tcPr>
          <w:p>
            <w:pPr>
              <w:pStyle w:val="TableContents"/>
              <w:bidi w:val="0"/>
              <w:spacing w:before="0" w:after="283"/>
              <w:jc w:val="right"/>
              <w:rPr/>
            </w:pPr>
            <w:r>
              <w:rPr/>
              <w:t>7.10</w:t>
            </w:r>
          </w:p>
        </w:tc>
      </w:tr>
      <w:tr>
        <w:trPr/>
        <w:tc>
          <w:tcPr>
            <w:tcW w:w="8222" w:type="dxa"/>
            <w:tcBorders/>
          </w:tcPr>
          <w:p>
            <w:pPr>
              <w:pStyle w:val="TableContents"/>
              <w:bidi w:val="0"/>
              <w:spacing w:before="0" w:after="0"/>
              <w:jc w:val="left"/>
              <w:rPr>
                <w:rFonts w:ascii="Times New Roman" w:hAnsi="Times New Roman"/>
                <w:sz w:val="20"/>
              </w:rPr>
            </w:pPr>
            <w:r>
              <w:rPr>
                <w:rFonts w:ascii="Times New Roman" w:hAnsi="Times New Roman"/>
                <w:sz w:val="20"/>
              </w:rPr>
              <w:t>(a)(2)</w:t>
            </w:r>
          </w:p>
        </w:tc>
        <w:tc>
          <w:tcPr>
            <w:tcW w:w="134" w:type="dxa"/>
            <w:tcBorders/>
            <w:vAlign w:val="bottom"/>
          </w:tcPr>
          <w:p>
            <w:pPr>
              <w:pStyle w:val="TableContents"/>
              <w:bidi w:val="0"/>
              <w:spacing w:before="0" w:after="283"/>
              <w:jc w:val="left"/>
              <w:rPr/>
            </w:pPr>
            <w:r>
              <w:rPr/>
              <w:t>  </w:t>
            </w:r>
          </w:p>
        </w:tc>
        <w:tc>
          <w:tcPr>
            <w:tcW w:w="1849" w:type="dxa"/>
            <w:tcBorders/>
            <w:vAlign w:val="bottom"/>
          </w:tcPr>
          <w:p>
            <w:pPr>
              <w:pStyle w:val="TableContents"/>
              <w:bidi w:val="0"/>
              <w:spacing w:before="0" w:after="283"/>
              <w:jc w:val="right"/>
              <w:rPr/>
            </w:pPr>
            <w:r>
              <w:rPr/>
              <w:t>7.10</w:t>
            </w:r>
          </w:p>
        </w:tc>
      </w:tr>
      <w:tr>
        <w:trPr/>
        <w:tc>
          <w:tcPr>
            <w:tcW w:w="8222" w:type="dxa"/>
            <w:tcBorders/>
          </w:tcPr>
          <w:p>
            <w:pPr>
              <w:pStyle w:val="TableContents"/>
              <w:bidi w:val="0"/>
              <w:spacing w:before="0" w:after="0"/>
              <w:jc w:val="left"/>
              <w:rPr>
                <w:rFonts w:ascii="Times New Roman" w:hAnsi="Times New Roman"/>
                <w:sz w:val="20"/>
              </w:rPr>
            </w:pPr>
            <w:r>
              <w:rPr>
                <w:rFonts w:ascii="Times New Roman" w:hAnsi="Times New Roman"/>
                <w:sz w:val="20"/>
              </w:rPr>
              <w:t>(a)(3)</w:t>
            </w:r>
          </w:p>
        </w:tc>
        <w:tc>
          <w:tcPr>
            <w:tcW w:w="134" w:type="dxa"/>
            <w:tcBorders/>
            <w:vAlign w:val="bottom"/>
          </w:tcPr>
          <w:p>
            <w:pPr>
              <w:pStyle w:val="TableContents"/>
              <w:bidi w:val="0"/>
              <w:spacing w:before="0" w:after="283"/>
              <w:jc w:val="left"/>
              <w:rPr/>
            </w:pPr>
            <w:r>
              <w:rPr/>
              <w:t>  </w:t>
            </w:r>
          </w:p>
        </w:tc>
        <w:tc>
          <w:tcPr>
            <w:tcW w:w="1849" w:type="dxa"/>
            <w:tcBorders/>
            <w:vAlign w:val="bottom"/>
          </w:tcPr>
          <w:p>
            <w:pPr>
              <w:pStyle w:val="TableContents"/>
              <w:bidi w:val="0"/>
              <w:spacing w:before="0" w:after="283"/>
              <w:jc w:val="right"/>
              <w:rPr/>
            </w:pPr>
            <w:r>
              <w:rPr/>
              <w:t>N.A.</w:t>
            </w:r>
          </w:p>
        </w:tc>
      </w:tr>
      <w:tr>
        <w:trPr/>
        <w:tc>
          <w:tcPr>
            <w:tcW w:w="8222" w:type="dxa"/>
            <w:tcBorders/>
          </w:tcPr>
          <w:p>
            <w:pPr>
              <w:pStyle w:val="TableContents"/>
              <w:bidi w:val="0"/>
              <w:spacing w:before="0" w:after="0"/>
              <w:jc w:val="left"/>
              <w:rPr>
                <w:rFonts w:ascii="Times New Roman" w:hAnsi="Times New Roman"/>
                <w:sz w:val="20"/>
              </w:rPr>
            </w:pPr>
            <w:r>
              <w:rPr>
                <w:rFonts w:ascii="Times New Roman" w:hAnsi="Times New Roman"/>
                <w:sz w:val="20"/>
              </w:rPr>
              <w:t>(a)(4)</w:t>
            </w:r>
          </w:p>
        </w:tc>
        <w:tc>
          <w:tcPr>
            <w:tcW w:w="134" w:type="dxa"/>
            <w:tcBorders/>
            <w:vAlign w:val="bottom"/>
          </w:tcPr>
          <w:p>
            <w:pPr>
              <w:pStyle w:val="TableContents"/>
              <w:bidi w:val="0"/>
              <w:spacing w:before="0" w:after="283"/>
              <w:jc w:val="left"/>
              <w:rPr/>
            </w:pPr>
            <w:r>
              <w:rPr/>
              <w:t>  </w:t>
            </w:r>
          </w:p>
        </w:tc>
        <w:tc>
          <w:tcPr>
            <w:tcW w:w="1849" w:type="dxa"/>
            <w:tcBorders/>
            <w:vAlign w:val="bottom"/>
          </w:tcPr>
          <w:p>
            <w:pPr>
              <w:pStyle w:val="TableContents"/>
              <w:bidi w:val="0"/>
              <w:spacing w:before="0" w:after="283"/>
              <w:jc w:val="right"/>
              <w:rPr/>
            </w:pPr>
            <w:r>
              <w:rPr/>
              <w:t>N.A.</w:t>
            </w:r>
          </w:p>
        </w:tc>
      </w:tr>
      <w:tr>
        <w:trPr/>
        <w:tc>
          <w:tcPr>
            <w:tcW w:w="8222" w:type="dxa"/>
            <w:tcBorders/>
          </w:tcPr>
          <w:p>
            <w:pPr>
              <w:pStyle w:val="TableContents"/>
              <w:bidi w:val="0"/>
              <w:spacing w:before="0" w:after="0"/>
              <w:jc w:val="left"/>
              <w:rPr>
                <w:rFonts w:ascii="Times New Roman" w:hAnsi="Times New Roman"/>
                <w:sz w:val="20"/>
              </w:rPr>
            </w:pPr>
            <w:r>
              <w:rPr>
                <w:rFonts w:ascii="Times New Roman" w:hAnsi="Times New Roman"/>
                <w:sz w:val="20"/>
              </w:rPr>
              <w:t>(b)</w:t>
            </w:r>
          </w:p>
        </w:tc>
        <w:tc>
          <w:tcPr>
            <w:tcW w:w="134" w:type="dxa"/>
            <w:tcBorders/>
            <w:vAlign w:val="bottom"/>
          </w:tcPr>
          <w:p>
            <w:pPr>
              <w:pStyle w:val="TableContents"/>
              <w:bidi w:val="0"/>
              <w:spacing w:before="0" w:after="283"/>
              <w:jc w:val="left"/>
              <w:rPr/>
            </w:pPr>
            <w:r>
              <w:rPr/>
              <w:t>  </w:t>
            </w:r>
          </w:p>
        </w:tc>
        <w:tc>
          <w:tcPr>
            <w:tcW w:w="1849" w:type="dxa"/>
            <w:tcBorders/>
            <w:vAlign w:val="bottom"/>
          </w:tcPr>
          <w:p>
            <w:pPr>
              <w:pStyle w:val="TableContents"/>
              <w:bidi w:val="0"/>
              <w:spacing w:before="0" w:after="283"/>
              <w:jc w:val="right"/>
              <w:rPr/>
            </w:pPr>
            <w:r>
              <w:rPr/>
              <w:t>7.08; 7.10; 12.02</w:t>
            </w:r>
          </w:p>
        </w:tc>
      </w:tr>
      <w:tr>
        <w:trPr/>
        <w:tc>
          <w:tcPr>
            <w:tcW w:w="8222" w:type="dxa"/>
            <w:tcBorders/>
          </w:tcPr>
          <w:p>
            <w:pPr>
              <w:pStyle w:val="TableContents"/>
              <w:bidi w:val="0"/>
              <w:spacing w:before="0" w:after="0"/>
              <w:jc w:val="left"/>
              <w:rPr>
                <w:rFonts w:ascii="Times New Roman" w:hAnsi="Times New Roman"/>
                <w:sz w:val="20"/>
              </w:rPr>
            </w:pPr>
            <w:r>
              <w:rPr>
                <w:rFonts w:ascii="Times New Roman" w:hAnsi="Times New Roman"/>
                <w:sz w:val="20"/>
              </w:rPr>
              <w:t>311(a)</w:t>
            </w:r>
          </w:p>
        </w:tc>
        <w:tc>
          <w:tcPr>
            <w:tcW w:w="134" w:type="dxa"/>
            <w:tcBorders/>
            <w:vAlign w:val="bottom"/>
          </w:tcPr>
          <w:p>
            <w:pPr>
              <w:pStyle w:val="TableContents"/>
              <w:bidi w:val="0"/>
              <w:spacing w:before="0" w:after="283"/>
              <w:jc w:val="left"/>
              <w:rPr/>
            </w:pPr>
            <w:r>
              <w:rPr/>
              <w:t>  </w:t>
            </w:r>
          </w:p>
        </w:tc>
        <w:tc>
          <w:tcPr>
            <w:tcW w:w="1849" w:type="dxa"/>
            <w:tcBorders/>
            <w:vAlign w:val="bottom"/>
          </w:tcPr>
          <w:p>
            <w:pPr>
              <w:pStyle w:val="TableContents"/>
              <w:bidi w:val="0"/>
              <w:spacing w:before="0" w:after="283"/>
              <w:jc w:val="right"/>
              <w:rPr/>
            </w:pPr>
            <w:r>
              <w:rPr/>
              <w:t>7.11</w:t>
            </w:r>
          </w:p>
        </w:tc>
      </w:tr>
      <w:tr>
        <w:trPr/>
        <w:tc>
          <w:tcPr>
            <w:tcW w:w="8222" w:type="dxa"/>
            <w:tcBorders/>
          </w:tcPr>
          <w:p>
            <w:pPr>
              <w:pStyle w:val="TableContents"/>
              <w:bidi w:val="0"/>
              <w:spacing w:before="0" w:after="0"/>
              <w:jc w:val="left"/>
              <w:rPr>
                <w:rFonts w:ascii="Times New Roman" w:hAnsi="Times New Roman"/>
                <w:sz w:val="20"/>
              </w:rPr>
            </w:pPr>
            <w:r>
              <w:rPr>
                <w:rFonts w:ascii="Times New Roman" w:hAnsi="Times New Roman"/>
                <w:sz w:val="20"/>
              </w:rPr>
              <w:t>(b)</w:t>
            </w:r>
          </w:p>
        </w:tc>
        <w:tc>
          <w:tcPr>
            <w:tcW w:w="134" w:type="dxa"/>
            <w:tcBorders/>
            <w:vAlign w:val="bottom"/>
          </w:tcPr>
          <w:p>
            <w:pPr>
              <w:pStyle w:val="TableContents"/>
              <w:bidi w:val="0"/>
              <w:spacing w:before="0" w:after="283"/>
              <w:jc w:val="left"/>
              <w:rPr/>
            </w:pPr>
            <w:r>
              <w:rPr/>
              <w:t>  </w:t>
            </w:r>
          </w:p>
        </w:tc>
        <w:tc>
          <w:tcPr>
            <w:tcW w:w="1849" w:type="dxa"/>
            <w:tcBorders/>
            <w:vAlign w:val="bottom"/>
          </w:tcPr>
          <w:p>
            <w:pPr>
              <w:pStyle w:val="TableContents"/>
              <w:bidi w:val="0"/>
              <w:spacing w:before="0" w:after="283"/>
              <w:jc w:val="right"/>
              <w:rPr/>
            </w:pPr>
            <w:r>
              <w:rPr/>
              <w:t>7.11</w:t>
            </w:r>
          </w:p>
        </w:tc>
      </w:tr>
      <w:tr>
        <w:trPr/>
        <w:tc>
          <w:tcPr>
            <w:tcW w:w="8222" w:type="dxa"/>
            <w:tcBorders/>
          </w:tcPr>
          <w:p>
            <w:pPr>
              <w:pStyle w:val="TableContents"/>
              <w:bidi w:val="0"/>
              <w:spacing w:before="0" w:after="0"/>
              <w:jc w:val="left"/>
              <w:rPr>
                <w:rFonts w:ascii="Times New Roman" w:hAnsi="Times New Roman"/>
                <w:sz w:val="20"/>
              </w:rPr>
            </w:pPr>
            <w:r>
              <w:rPr>
                <w:rFonts w:ascii="Times New Roman" w:hAnsi="Times New Roman"/>
                <w:sz w:val="20"/>
              </w:rPr>
              <w:t>(c)</w:t>
            </w:r>
          </w:p>
        </w:tc>
        <w:tc>
          <w:tcPr>
            <w:tcW w:w="134" w:type="dxa"/>
            <w:tcBorders/>
            <w:vAlign w:val="bottom"/>
          </w:tcPr>
          <w:p>
            <w:pPr>
              <w:pStyle w:val="TableContents"/>
              <w:bidi w:val="0"/>
              <w:spacing w:before="0" w:after="283"/>
              <w:jc w:val="left"/>
              <w:rPr/>
            </w:pPr>
            <w:r>
              <w:rPr/>
              <w:t>  </w:t>
            </w:r>
          </w:p>
        </w:tc>
        <w:tc>
          <w:tcPr>
            <w:tcW w:w="1849" w:type="dxa"/>
            <w:tcBorders/>
            <w:vAlign w:val="bottom"/>
          </w:tcPr>
          <w:p>
            <w:pPr>
              <w:pStyle w:val="TableContents"/>
              <w:bidi w:val="0"/>
              <w:spacing w:before="0" w:after="283"/>
              <w:jc w:val="right"/>
              <w:rPr/>
            </w:pPr>
            <w:r>
              <w:rPr/>
              <w:t>N.A.</w:t>
            </w:r>
          </w:p>
        </w:tc>
      </w:tr>
      <w:tr>
        <w:trPr/>
        <w:tc>
          <w:tcPr>
            <w:tcW w:w="8222" w:type="dxa"/>
            <w:tcBorders/>
          </w:tcPr>
          <w:p>
            <w:pPr>
              <w:pStyle w:val="TableContents"/>
              <w:bidi w:val="0"/>
              <w:spacing w:before="0" w:after="0"/>
              <w:jc w:val="left"/>
              <w:rPr>
                <w:rFonts w:ascii="Times New Roman" w:hAnsi="Times New Roman"/>
                <w:sz w:val="20"/>
              </w:rPr>
            </w:pPr>
            <w:r>
              <w:rPr>
                <w:rFonts w:ascii="Times New Roman" w:hAnsi="Times New Roman"/>
                <w:sz w:val="20"/>
              </w:rPr>
              <w:t>312(a)</w:t>
            </w:r>
          </w:p>
        </w:tc>
        <w:tc>
          <w:tcPr>
            <w:tcW w:w="134" w:type="dxa"/>
            <w:tcBorders/>
            <w:vAlign w:val="bottom"/>
          </w:tcPr>
          <w:p>
            <w:pPr>
              <w:pStyle w:val="TableContents"/>
              <w:bidi w:val="0"/>
              <w:spacing w:before="0" w:after="283"/>
              <w:jc w:val="left"/>
              <w:rPr/>
            </w:pPr>
            <w:r>
              <w:rPr/>
              <w:t>  </w:t>
            </w:r>
          </w:p>
        </w:tc>
        <w:tc>
          <w:tcPr>
            <w:tcW w:w="1849" w:type="dxa"/>
            <w:tcBorders/>
            <w:vAlign w:val="bottom"/>
          </w:tcPr>
          <w:p>
            <w:pPr>
              <w:pStyle w:val="TableContents"/>
              <w:bidi w:val="0"/>
              <w:spacing w:before="0" w:after="283"/>
              <w:jc w:val="right"/>
              <w:rPr/>
            </w:pPr>
            <w:r>
              <w:rPr/>
              <w:t>2.05</w:t>
            </w:r>
          </w:p>
        </w:tc>
      </w:tr>
      <w:tr>
        <w:trPr/>
        <w:tc>
          <w:tcPr>
            <w:tcW w:w="8222" w:type="dxa"/>
            <w:tcBorders/>
          </w:tcPr>
          <w:p>
            <w:pPr>
              <w:pStyle w:val="TableContents"/>
              <w:bidi w:val="0"/>
              <w:spacing w:before="0" w:after="0"/>
              <w:jc w:val="left"/>
              <w:rPr>
                <w:rFonts w:ascii="Times New Roman" w:hAnsi="Times New Roman"/>
                <w:sz w:val="20"/>
              </w:rPr>
            </w:pPr>
            <w:r>
              <w:rPr>
                <w:rFonts w:ascii="Times New Roman" w:hAnsi="Times New Roman"/>
                <w:sz w:val="20"/>
              </w:rPr>
              <w:t>(b)</w:t>
            </w:r>
          </w:p>
        </w:tc>
        <w:tc>
          <w:tcPr>
            <w:tcW w:w="134" w:type="dxa"/>
            <w:tcBorders/>
            <w:vAlign w:val="bottom"/>
          </w:tcPr>
          <w:p>
            <w:pPr>
              <w:pStyle w:val="TableContents"/>
              <w:bidi w:val="0"/>
              <w:spacing w:before="0" w:after="283"/>
              <w:jc w:val="left"/>
              <w:rPr/>
            </w:pPr>
            <w:r>
              <w:rPr/>
              <w:t>  </w:t>
            </w:r>
          </w:p>
        </w:tc>
        <w:tc>
          <w:tcPr>
            <w:tcW w:w="1849" w:type="dxa"/>
            <w:tcBorders/>
            <w:vAlign w:val="bottom"/>
          </w:tcPr>
          <w:p>
            <w:pPr>
              <w:pStyle w:val="TableContents"/>
              <w:bidi w:val="0"/>
              <w:spacing w:before="0" w:after="283"/>
              <w:jc w:val="right"/>
              <w:rPr/>
            </w:pPr>
            <w:r>
              <w:rPr/>
              <w:t>12.03</w:t>
            </w:r>
          </w:p>
        </w:tc>
      </w:tr>
      <w:tr>
        <w:trPr/>
        <w:tc>
          <w:tcPr>
            <w:tcW w:w="8222" w:type="dxa"/>
            <w:tcBorders/>
          </w:tcPr>
          <w:p>
            <w:pPr>
              <w:pStyle w:val="TableContents"/>
              <w:bidi w:val="0"/>
              <w:spacing w:before="0" w:after="0"/>
              <w:jc w:val="left"/>
              <w:rPr>
                <w:rFonts w:ascii="Times New Roman" w:hAnsi="Times New Roman"/>
                <w:sz w:val="20"/>
              </w:rPr>
            </w:pPr>
            <w:r>
              <w:rPr>
                <w:rFonts w:ascii="Times New Roman" w:hAnsi="Times New Roman"/>
                <w:sz w:val="20"/>
              </w:rPr>
              <w:t>(c)</w:t>
            </w:r>
          </w:p>
        </w:tc>
        <w:tc>
          <w:tcPr>
            <w:tcW w:w="134" w:type="dxa"/>
            <w:tcBorders/>
            <w:vAlign w:val="bottom"/>
          </w:tcPr>
          <w:p>
            <w:pPr>
              <w:pStyle w:val="TableContents"/>
              <w:bidi w:val="0"/>
              <w:spacing w:before="0" w:after="283"/>
              <w:jc w:val="left"/>
              <w:rPr/>
            </w:pPr>
            <w:r>
              <w:rPr/>
              <w:t>  </w:t>
            </w:r>
          </w:p>
        </w:tc>
        <w:tc>
          <w:tcPr>
            <w:tcW w:w="1849" w:type="dxa"/>
            <w:tcBorders/>
            <w:vAlign w:val="bottom"/>
          </w:tcPr>
          <w:p>
            <w:pPr>
              <w:pStyle w:val="TableContents"/>
              <w:bidi w:val="0"/>
              <w:spacing w:before="0" w:after="283"/>
              <w:jc w:val="right"/>
              <w:rPr/>
            </w:pPr>
            <w:r>
              <w:rPr/>
              <w:t>12.03</w:t>
            </w:r>
          </w:p>
        </w:tc>
      </w:tr>
      <w:tr>
        <w:trPr/>
        <w:tc>
          <w:tcPr>
            <w:tcW w:w="8222" w:type="dxa"/>
            <w:tcBorders/>
          </w:tcPr>
          <w:p>
            <w:pPr>
              <w:pStyle w:val="TableContents"/>
              <w:bidi w:val="0"/>
              <w:spacing w:before="0" w:after="0"/>
              <w:jc w:val="left"/>
              <w:rPr>
                <w:rFonts w:ascii="Times New Roman" w:hAnsi="Times New Roman"/>
                <w:sz w:val="20"/>
              </w:rPr>
            </w:pPr>
            <w:r>
              <w:rPr>
                <w:rFonts w:ascii="Times New Roman" w:hAnsi="Times New Roman"/>
                <w:sz w:val="20"/>
              </w:rPr>
              <w:t>313(a)</w:t>
            </w:r>
          </w:p>
        </w:tc>
        <w:tc>
          <w:tcPr>
            <w:tcW w:w="134" w:type="dxa"/>
            <w:tcBorders/>
            <w:vAlign w:val="bottom"/>
          </w:tcPr>
          <w:p>
            <w:pPr>
              <w:pStyle w:val="TableContents"/>
              <w:bidi w:val="0"/>
              <w:spacing w:before="0" w:after="283"/>
              <w:jc w:val="left"/>
              <w:rPr/>
            </w:pPr>
            <w:r>
              <w:rPr/>
              <w:t>  </w:t>
            </w:r>
          </w:p>
        </w:tc>
        <w:tc>
          <w:tcPr>
            <w:tcW w:w="1849" w:type="dxa"/>
            <w:tcBorders/>
            <w:vAlign w:val="bottom"/>
          </w:tcPr>
          <w:p>
            <w:pPr>
              <w:pStyle w:val="TableContents"/>
              <w:bidi w:val="0"/>
              <w:spacing w:before="0" w:after="283"/>
              <w:jc w:val="right"/>
              <w:rPr/>
            </w:pPr>
            <w:r>
              <w:rPr/>
              <w:t>7.06</w:t>
            </w:r>
          </w:p>
        </w:tc>
      </w:tr>
      <w:tr>
        <w:trPr/>
        <w:tc>
          <w:tcPr>
            <w:tcW w:w="8222" w:type="dxa"/>
            <w:tcBorders/>
          </w:tcPr>
          <w:p>
            <w:pPr>
              <w:pStyle w:val="TableContents"/>
              <w:bidi w:val="0"/>
              <w:spacing w:before="0" w:after="0"/>
              <w:jc w:val="left"/>
              <w:rPr>
                <w:rFonts w:ascii="Times New Roman" w:hAnsi="Times New Roman"/>
                <w:sz w:val="20"/>
              </w:rPr>
            </w:pPr>
            <w:r>
              <w:rPr>
                <w:rFonts w:ascii="Times New Roman" w:hAnsi="Times New Roman"/>
                <w:sz w:val="20"/>
              </w:rPr>
              <w:t>(b)(1)</w:t>
            </w:r>
          </w:p>
        </w:tc>
        <w:tc>
          <w:tcPr>
            <w:tcW w:w="134" w:type="dxa"/>
            <w:tcBorders/>
            <w:vAlign w:val="bottom"/>
          </w:tcPr>
          <w:p>
            <w:pPr>
              <w:pStyle w:val="TableContents"/>
              <w:bidi w:val="0"/>
              <w:spacing w:before="0" w:after="283"/>
              <w:jc w:val="left"/>
              <w:rPr/>
            </w:pPr>
            <w:r>
              <w:rPr/>
              <w:t>  </w:t>
            </w:r>
          </w:p>
        </w:tc>
        <w:tc>
          <w:tcPr>
            <w:tcW w:w="1849" w:type="dxa"/>
            <w:tcBorders/>
            <w:vAlign w:val="bottom"/>
          </w:tcPr>
          <w:p>
            <w:pPr>
              <w:pStyle w:val="TableContents"/>
              <w:bidi w:val="0"/>
              <w:spacing w:before="0" w:after="283"/>
              <w:jc w:val="right"/>
              <w:rPr/>
            </w:pPr>
            <w:r>
              <w:rPr/>
              <w:t>N.A.</w:t>
            </w:r>
          </w:p>
        </w:tc>
      </w:tr>
      <w:tr>
        <w:trPr/>
        <w:tc>
          <w:tcPr>
            <w:tcW w:w="8222" w:type="dxa"/>
            <w:tcBorders/>
          </w:tcPr>
          <w:p>
            <w:pPr>
              <w:pStyle w:val="TableContents"/>
              <w:bidi w:val="0"/>
              <w:spacing w:before="0" w:after="0"/>
              <w:jc w:val="left"/>
              <w:rPr>
                <w:rFonts w:ascii="Times New Roman" w:hAnsi="Times New Roman"/>
                <w:sz w:val="20"/>
              </w:rPr>
            </w:pPr>
            <w:r>
              <w:rPr>
                <w:rFonts w:ascii="Times New Roman" w:hAnsi="Times New Roman"/>
                <w:sz w:val="20"/>
              </w:rPr>
              <w:t>(b)(2)</w:t>
            </w:r>
          </w:p>
        </w:tc>
        <w:tc>
          <w:tcPr>
            <w:tcW w:w="134" w:type="dxa"/>
            <w:tcBorders/>
            <w:vAlign w:val="bottom"/>
          </w:tcPr>
          <w:p>
            <w:pPr>
              <w:pStyle w:val="TableContents"/>
              <w:bidi w:val="0"/>
              <w:spacing w:before="0" w:after="283"/>
              <w:jc w:val="left"/>
              <w:rPr/>
            </w:pPr>
            <w:r>
              <w:rPr/>
              <w:t>  </w:t>
            </w:r>
          </w:p>
        </w:tc>
        <w:tc>
          <w:tcPr>
            <w:tcW w:w="1849" w:type="dxa"/>
            <w:tcBorders/>
            <w:vAlign w:val="bottom"/>
          </w:tcPr>
          <w:p>
            <w:pPr>
              <w:pStyle w:val="TableContents"/>
              <w:bidi w:val="0"/>
              <w:spacing w:before="0" w:after="283"/>
              <w:jc w:val="right"/>
              <w:rPr/>
            </w:pPr>
            <w:r>
              <w:rPr/>
              <w:t>7.06</w:t>
            </w:r>
          </w:p>
        </w:tc>
      </w:tr>
      <w:tr>
        <w:trPr/>
        <w:tc>
          <w:tcPr>
            <w:tcW w:w="8222" w:type="dxa"/>
            <w:tcBorders/>
          </w:tcPr>
          <w:p>
            <w:pPr>
              <w:pStyle w:val="TableContents"/>
              <w:bidi w:val="0"/>
              <w:spacing w:before="0" w:after="0"/>
              <w:jc w:val="left"/>
              <w:rPr>
                <w:rFonts w:ascii="Times New Roman" w:hAnsi="Times New Roman"/>
                <w:sz w:val="20"/>
              </w:rPr>
            </w:pPr>
            <w:r>
              <w:rPr>
                <w:rFonts w:ascii="Times New Roman" w:hAnsi="Times New Roman"/>
                <w:sz w:val="20"/>
              </w:rPr>
              <w:t>(c)</w:t>
            </w:r>
          </w:p>
        </w:tc>
        <w:tc>
          <w:tcPr>
            <w:tcW w:w="134" w:type="dxa"/>
            <w:tcBorders/>
            <w:vAlign w:val="bottom"/>
          </w:tcPr>
          <w:p>
            <w:pPr>
              <w:pStyle w:val="TableContents"/>
              <w:bidi w:val="0"/>
              <w:spacing w:before="0" w:after="283"/>
              <w:jc w:val="left"/>
              <w:rPr/>
            </w:pPr>
            <w:r>
              <w:rPr/>
              <w:t>  </w:t>
            </w:r>
          </w:p>
        </w:tc>
        <w:tc>
          <w:tcPr>
            <w:tcW w:w="1849" w:type="dxa"/>
            <w:tcBorders/>
            <w:vAlign w:val="bottom"/>
          </w:tcPr>
          <w:p>
            <w:pPr>
              <w:pStyle w:val="TableContents"/>
              <w:bidi w:val="0"/>
              <w:spacing w:before="0" w:after="283"/>
              <w:jc w:val="right"/>
              <w:rPr/>
            </w:pPr>
            <w:r>
              <w:rPr/>
              <w:t>12.02</w:t>
            </w:r>
          </w:p>
        </w:tc>
      </w:tr>
      <w:tr>
        <w:trPr/>
        <w:tc>
          <w:tcPr>
            <w:tcW w:w="8222" w:type="dxa"/>
            <w:tcBorders/>
          </w:tcPr>
          <w:p>
            <w:pPr>
              <w:pStyle w:val="TableContents"/>
              <w:bidi w:val="0"/>
              <w:spacing w:before="0" w:after="0"/>
              <w:jc w:val="left"/>
              <w:rPr>
                <w:rFonts w:ascii="Times New Roman" w:hAnsi="Times New Roman"/>
                <w:sz w:val="20"/>
              </w:rPr>
            </w:pPr>
            <w:r>
              <w:rPr>
                <w:rFonts w:ascii="Times New Roman" w:hAnsi="Times New Roman"/>
                <w:sz w:val="20"/>
              </w:rPr>
              <w:t>(d)</w:t>
            </w:r>
          </w:p>
        </w:tc>
        <w:tc>
          <w:tcPr>
            <w:tcW w:w="134" w:type="dxa"/>
            <w:tcBorders/>
            <w:vAlign w:val="bottom"/>
          </w:tcPr>
          <w:p>
            <w:pPr>
              <w:pStyle w:val="TableContents"/>
              <w:bidi w:val="0"/>
              <w:spacing w:before="0" w:after="283"/>
              <w:jc w:val="left"/>
              <w:rPr/>
            </w:pPr>
            <w:r>
              <w:rPr/>
              <w:t>  </w:t>
            </w:r>
          </w:p>
        </w:tc>
        <w:tc>
          <w:tcPr>
            <w:tcW w:w="1849" w:type="dxa"/>
            <w:tcBorders/>
            <w:vAlign w:val="bottom"/>
          </w:tcPr>
          <w:p>
            <w:pPr>
              <w:pStyle w:val="TableContents"/>
              <w:bidi w:val="0"/>
              <w:spacing w:before="0" w:after="283"/>
              <w:jc w:val="right"/>
              <w:rPr/>
            </w:pPr>
            <w:r>
              <w:rPr/>
              <w:t>7.06</w:t>
            </w:r>
          </w:p>
        </w:tc>
      </w:tr>
      <w:tr>
        <w:trPr/>
        <w:tc>
          <w:tcPr>
            <w:tcW w:w="8222" w:type="dxa"/>
            <w:tcBorders/>
          </w:tcPr>
          <w:p>
            <w:pPr>
              <w:pStyle w:val="TableContents"/>
              <w:bidi w:val="0"/>
              <w:spacing w:before="0" w:after="0"/>
              <w:jc w:val="left"/>
              <w:rPr>
                <w:rFonts w:ascii="Times New Roman" w:hAnsi="Times New Roman"/>
                <w:sz w:val="20"/>
              </w:rPr>
            </w:pPr>
            <w:r>
              <w:rPr>
                <w:rFonts w:ascii="Times New Roman" w:hAnsi="Times New Roman"/>
                <w:sz w:val="20"/>
              </w:rPr>
              <w:t>314(a)</w:t>
            </w:r>
          </w:p>
        </w:tc>
        <w:tc>
          <w:tcPr>
            <w:tcW w:w="134" w:type="dxa"/>
            <w:tcBorders/>
            <w:vAlign w:val="bottom"/>
          </w:tcPr>
          <w:p>
            <w:pPr>
              <w:pStyle w:val="TableContents"/>
              <w:bidi w:val="0"/>
              <w:spacing w:before="0" w:after="283"/>
              <w:jc w:val="left"/>
              <w:rPr/>
            </w:pPr>
            <w:r>
              <w:rPr/>
              <w:t>  </w:t>
            </w:r>
          </w:p>
        </w:tc>
        <w:tc>
          <w:tcPr>
            <w:tcW w:w="1849" w:type="dxa"/>
            <w:tcBorders/>
            <w:vAlign w:val="bottom"/>
          </w:tcPr>
          <w:p>
            <w:pPr>
              <w:pStyle w:val="TableContents"/>
              <w:bidi w:val="0"/>
              <w:spacing w:before="0" w:after="283"/>
              <w:jc w:val="right"/>
              <w:rPr/>
            </w:pPr>
            <w:r>
              <w:rPr/>
              <w:t>4.03; 12.02</w:t>
            </w:r>
          </w:p>
        </w:tc>
      </w:tr>
      <w:tr>
        <w:trPr/>
        <w:tc>
          <w:tcPr>
            <w:tcW w:w="8222" w:type="dxa"/>
            <w:tcBorders/>
          </w:tcPr>
          <w:p>
            <w:pPr>
              <w:pStyle w:val="TableContents"/>
              <w:bidi w:val="0"/>
              <w:spacing w:before="0" w:after="0"/>
              <w:jc w:val="left"/>
              <w:rPr>
                <w:rFonts w:ascii="Times New Roman" w:hAnsi="Times New Roman"/>
                <w:sz w:val="20"/>
              </w:rPr>
            </w:pPr>
            <w:r>
              <w:rPr>
                <w:rFonts w:ascii="Times New Roman" w:hAnsi="Times New Roman"/>
                <w:sz w:val="20"/>
              </w:rPr>
              <w:t>(b)</w:t>
            </w:r>
          </w:p>
        </w:tc>
        <w:tc>
          <w:tcPr>
            <w:tcW w:w="134" w:type="dxa"/>
            <w:tcBorders/>
            <w:vAlign w:val="bottom"/>
          </w:tcPr>
          <w:p>
            <w:pPr>
              <w:pStyle w:val="TableContents"/>
              <w:bidi w:val="0"/>
              <w:spacing w:before="0" w:after="283"/>
              <w:jc w:val="left"/>
              <w:rPr/>
            </w:pPr>
            <w:r>
              <w:rPr/>
              <w:t>  </w:t>
            </w:r>
          </w:p>
        </w:tc>
        <w:tc>
          <w:tcPr>
            <w:tcW w:w="1849" w:type="dxa"/>
            <w:tcBorders/>
            <w:vAlign w:val="bottom"/>
          </w:tcPr>
          <w:p>
            <w:pPr>
              <w:pStyle w:val="TableContents"/>
              <w:bidi w:val="0"/>
              <w:spacing w:before="0" w:after="283"/>
              <w:jc w:val="right"/>
              <w:rPr/>
            </w:pPr>
            <w:r>
              <w:rPr/>
              <w:t>N.A.</w:t>
            </w:r>
          </w:p>
        </w:tc>
      </w:tr>
      <w:tr>
        <w:trPr/>
        <w:tc>
          <w:tcPr>
            <w:tcW w:w="8222" w:type="dxa"/>
            <w:tcBorders/>
          </w:tcPr>
          <w:p>
            <w:pPr>
              <w:pStyle w:val="TableContents"/>
              <w:bidi w:val="0"/>
              <w:spacing w:before="0" w:after="0"/>
              <w:jc w:val="left"/>
              <w:rPr>
                <w:rFonts w:ascii="Times New Roman" w:hAnsi="Times New Roman"/>
                <w:sz w:val="20"/>
              </w:rPr>
            </w:pPr>
            <w:r>
              <w:rPr>
                <w:rFonts w:ascii="Times New Roman" w:hAnsi="Times New Roman"/>
                <w:sz w:val="20"/>
              </w:rPr>
              <w:t>(c)(1)</w:t>
            </w:r>
          </w:p>
        </w:tc>
        <w:tc>
          <w:tcPr>
            <w:tcW w:w="134" w:type="dxa"/>
            <w:tcBorders/>
            <w:vAlign w:val="bottom"/>
          </w:tcPr>
          <w:p>
            <w:pPr>
              <w:pStyle w:val="TableContents"/>
              <w:bidi w:val="0"/>
              <w:spacing w:before="0" w:after="283"/>
              <w:jc w:val="left"/>
              <w:rPr/>
            </w:pPr>
            <w:r>
              <w:rPr/>
              <w:t>  </w:t>
            </w:r>
          </w:p>
        </w:tc>
        <w:tc>
          <w:tcPr>
            <w:tcW w:w="1849" w:type="dxa"/>
            <w:tcBorders/>
            <w:vAlign w:val="bottom"/>
          </w:tcPr>
          <w:p>
            <w:pPr>
              <w:pStyle w:val="TableContents"/>
              <w:bidi w:val="0"/>
              <w:spacing w:before="0" w:after="283"/>
              <w:jc w:val="right"/>
              <w:rPr/>
            </w:pPr>
            <w:r>
              <w:rPr/>
              <w:t>12.04</w:t>
            </w:r>
          </w:p>
        </w:tc>
      </w:tr>
      <w:tr>
        <w:trPr/>
        <w:tc>
          <w:tcPr>
            <w:tcW w:w="8222" w:type="dxa"/>
            <w:tcBorders/>
          </w:tcPr>
          <w:p>
            <w:pPr>
              <w:pStyle w:val="TableContents"/>
              <w:bidi w:val="0"/>
              <w:spacing w:before="0" w:after="0"/>
              <w:jc w:val="left"/>
              <w:rPr>
                <w:rFonts w:ascii="Times New Roman" w:hAnsi="Times New Roman"/>
                <w:sz w:val="20"/>
              </w:rPr>
            </w:pPr>
            <w:r>
              <w:rPr>
                <w:rFonts w:ascii="Times New Roman" w:hAnsi="Times New Roman"/>
                <w:sz w:val="20"/>
              </w:rPr>
              <w:t>(c)(2)</w:t>
            </w:r>
          </w:p>
        </w:tc>
        <w:tc>
          <w:tcPr>
            <w:tcW w:w="134" w:type="dxa"/>
            <w:tcBorders/>
            <w:vAlign w:val="bottom"/>
          </w:tcPr>
          <w:p>
            <w:pPr>
              <w:pStyle w:val="TableContents"/>
              <w:bidi w:val="0"/>
              <w:spacing w:before="0" w:after="283"/>
              <w:jc w:val="left"/>
              <w:rPr/>
            </w:pPr>
            <w:r>
              <w:rPr/>
              <w:t>  </w:t>
            </w:r>
          </w:p>
        </w:tc>
        <w:tc>
          <w:tcPr>
            <w:tcW w:w="1849" w:type="dxa"/>
            <w:tcBorders/>
            <w:vAlign w:val="bottom"/>
          </w:tcPr>
          <w:p>
            <w:pPr>
              <w:pStyle w:val="TableContents"/>
              <w:bidi w:val="0"/>
              <w:spacing w:before="0" w:after="283"/>
              <w:jc w:val="right"/>
              <w:rPr/>
            </w:pPr>
            <w:r>
              <w:rPr/>
              <w:t>12.04</w:t>
            </w:r>
          </w:p>
        </w:tc>
      </w:tr>
      <w:tr>
        <w:trPr/>
        <w:tc>
          <w:tcPr>
            <w:tcW w:w="8222" w:type="dxa"/>
            <w:tcBorders/>
          </w:tcPr>
          <w:p>
            <w:pPr>
              <w:pStyle w:val="TableContents"/>
              <w:bidi w:val="0"/>
              <w:spacing w:before="0" w:after="0"/>
              <w:jc w:val="left"/>
              <w:rPr>
                <w:rFonts w:ascii="Times New Roman" w:hAnsi="Times New Roman"/>
                <w:sz w:val="20"/>
              </w:rPr>
            </w:pPr>
            <w:r>
              <w:rPr>
                <w:rFonts w:ascii="Times New Roman" w:hAnsi="Times New Roman"/>
                <w:sz w:val="20"/>
              </w:rPr>
              <w:t>(c)(3)</w:t>
            </w:r>
          </w:p>
        </w:tc>
        <w:tc>
          <w:tcPr>
            <w:tcW w:w="134" w:type="dxa"/>
            <w:tcBorders/>
            <w:vAlign w:val="bottom"/>
          </w:tcPr>
          <w:p>
            <w:pPr>
              <w:pStyle w:val="TableContents"/>
              <w:bidi w:val="0"/>
              <w:spacing w:before="0" w:after="283"/>
              <w:jc w:val="left"/>
              <w:rPr/>
            </w:pPr>
            <w:r>
              <w:rPr/>
              <w:t>  </w:t>
            </w:r>
          </w:p>
        </w:tc>
        <w:tc>
          <w:tcPr>
            <w:tcW w:w="1849" w:type="dxa"/>
            <w:tcBorders/>
            <w:vAlign w:val="bottom"/>
          </w:tcPr>
          <w:p>
            <w:pPr>
              <w:pStyle w:val="TableContents"/>
              <w:bidi w:val="0"/>
              <w:spacing w:before="0" w:after="283"/>
              <w:jc w:val="right"/>
              <w:rPr/>
            </w:pPr>
            <w:r>
              <w:rPr/>
              <w:t>N.A.</w:t>
            </w:r>
          </w:p>
        </w:tc>
      </w:tr>
      <w:tr>
        <w:trPr/>
        <w:tc>
          <w:tcPr>
            <w:tcW w:w="8222" w:type="dxa"/>
            <w:tcBorders/>
          </w:tcPr>
          <w:p>
            <w:pPr>
              <w:pStyle w:val="TableContents"/>
              <w:bidi w:val="0"/>
              <w:spacing w:before="0" w:after="0"/>
              <w:jc w:val="left"/>
              <w:rPr>
                <w:rFonts w:ascii="Times New Roman" w:hAnsi="Times New Roman"/>
                <w:sz w:val="20"/>
              </w:rPr>
            </w:pPr>
            <w:r>
              <w:rPr>
                <w:rFonts w:ascii="Times New Roman" w:hAnsi="Times New Roman"/>
                <w:sz w:val="20"/>
              </w:rPr>
              <w:t>(d)</w:t>
            </w:r>
          </w:p>
        </w:tc>
        <w:tc>
          <w:tcPr>
            <w:tcW w:w="134" w:type="dxa"/>
            <w:tcBorders/>
            <w:vAlign w:val="bottom"/>
          </w:tcPr>
          <w:p>
            <w:pPr>
              <w:pStyle w:val="TableContents"/>
              <w:bidi w:val="0"/>
              <w:spacing w:before="0" w:after="283"/>
              <w:jc w:val="left"/>
              <w:rPr/>
            </w:pPr>
            <w:r>
              <w:rPr/>
              <w:t>  </w:t>
            </w:r>
          </w:p>
        </w:tc>
        <w:tc>
          <w:tcPr>
            <w:tcW w:w="1849" w:type="dxa"/>
            <w:tcBorders/>
            <w:vAlign w:val="bottom"/>
          </w:tcPr>
          <w:p>
            <w:pPr>
              <w:pStyle w:val="TableContents"/>
              <w:bidi w:val="0"/>
              <w:spacing w:before="0" w:after="283"/>
              <w:jc w:val="right"/>
              <w:rPr/>
            </w:pPr>
            <w:r>
              <w:rPr/>
              <w:t>N.A.</w:t>
            </w:r>
          </w:p>
        </w:tc>
      </w:tr>
      <w:tr>
        <w:trPr/>
        <w:tc>
          <w:tcPr>
            <w:tcW w:w="8222" w:type="dxa"/>
            <w:tcBorders/>
          </w:tcPr>
          <w:p>
            <w:pPr>
              <w:pStyle w:val="TableContents"/>
              <w:bidi w:val="0"/>
              <w:spacing w:before="0" w:after="0"/>
              <w:jc w:val="left"/>
              <w:rPr>
                <w:rFonts w:ascii="Times New Roman" w:hAnsi="Times New Roman"/>
                <w:sz w:val="20"/>
              </w:rPr>
            </w:pPr>
            <w:r>
              <w:rPr>
                <w:rFonts w:ascii="Times New Roman" w:hAnsi="Times New Roman"/>
                <w:sz w:val="20"/>
              </w:rPr>
              <w:t>(e)</w:t>
            </w:r>
          </w:p>
        </w:tc>
        <w:tc>
          <w:tcPr>
            <w:tcW w:w="134" w:type="dxa"/>
            <w:tcBorders/>
            <w:vAlign w:val="bottom"/>
          </w:tcPr>
          <w:p>
            <w:pPr>
              <w:pStyle w:val="TableContents"/>
              <w:bidi w:val="0"/>
              <w:spacing w:before="0" w:after="283"/>
              <w:jc w:val="left"/>
              <w:rPr/>
            </w:pPr>
            <w:r>
              <w:rPr/>
              <w:t>  </w:t>
            </w:r>
          </w:p>
        </w:tc>
        <w:tc>
          <w:tcPr>
            <w:tcW w:w="1849" w:type="dxa"/>
            <w:tcBorders/>
            <w:vAlign w:val="bottom"/>
          </w:tcPr>
          <w:p>
            <w:pPr>
              <w:pStyle w:val="TableContents"/>
              <w:bidi w:val="0"/>
              <w:spacing w:before="0" w:after="283"/>
              <w:jc w:val="right"/>
              <w:rPr/>
            </w:pPr>
            <w:r>
              <w:rPr/>
              <w:t>12.05</w:t>
            </w:r>
          </w:p>
        </w:tc>
      </w:tr>
      <w:tr>
        <w:trPr/>
        <w:tc>
          <w:tcPr>
            <w:tcW w:w="8222" w:type="dxa"/>
            <w:tcBorders/>
          </w:tcPr>
          <w:p>
            <w:pPr>
              <w:pStyle w:val="TableContents"/>
              <w:bidi w:val="0"/>
              <w:spacing w:before="0" w:after="0"/>
              <w:jc w:val="left"/>
              <w:rPr>
                <w:rFonts w:ascii="Times New Roman" w:hAnsi="Times New Roman"/>
                <w:sz w:val="20"/>
              </w:rPr>
            </w:pPr>
            <w:r>
              <w:rPr>
                <w:rFonts w:ascii="Times New Roman" w:hAnsi="Times New Roman"/>
                <w:sz w:val="20"/>
              </w:rPr>
              <w:t>315(a)</w:t>
            </w:r>
          </w:p>
        </w:tc>
        <w:tc>
          <w:tcPr>
            <w:tcW w:w="134" w:type="dxa"/>
            <w:tcBorders/>
            <w:vAlign w:val="bottom"/>
          </w:tcPr>
          <w:p>
            <w:pPr>
              <w:pStyle w:val="TableContents"/>
              <w:bidi w:val="0"/>
              <w:spacing w:before="0" w:after="283"/>
              <w:jc w:val="left"/>
              <w:rPr/>
            </w:pPr>
            <w:r>
              <w:rPr/>
              <w:t>  </w:t>
            </w:r>
          </w:p>
        </w:tc>
        <w:tc>
          <w:tcPr>
            <w:tcW w:w="1849" w:type="dxa"/>
            <w:tcBorders/>
            <w:vAlign w:val="bottom"/>
          </w:tcPr>
          <w:p>
            <w:pPr>
              <w:pStyle w:val="TableContents"/>
              <w:bidi w:val="0"/>
              <w:spacing w:before="0" w:after="283"/>
              <w:jc w:val="right"/>
              <w:rPr/>
            </w:pPr>
            <w:r>
              <w:rPr/>
              <w:t>7.01(b)</w:t>
            </w:r>
          </w:p>
        </w:tc>
      </w:tr>
      <w:tr>
        <w:trPr/>
        <w:tc>
          <w:tcPr>
            <w:tcW w:w="8222" w:type="dxa"/>
            <w:tcBorders/>
          </w:tcPr>
          <w:p>
            <w:pPr>
              <w:pStyle w:val="TableContents"/>
              <w:bidi w:val="0"/>
              <w:spacing w:before="0" w:after="0"/>
              <w:jc w:val="left"/>
              <w:rPr>
                <w:rFonts w:ascii="Times New Roman" w:hAnsi="Times New Roman"/>
                <w:sz w:val="20"/>
              </w:rPr>
            </w:pPr>
            <w:r>
              <w:rPr>
                <w:rFonts w:ascii="Times New Roman" w:hAnsi="Times New Roman"/>
                <w:sz w:val="20"/>
              </w:rPr>
              <w:t>(b)</w:t>
            </w:r>
          </w:p>
        </w:tc>
        <w:tc>
          <w:tcPr>
            <w:tcW w:w="134" w:type="dxa"/>
            <w:tcBorders/>
            <w:vAlign w:val="bottom"/>
          </w:tcPr>
          <w:p>
            <w:pPr>
              <w:pStyle w:val="TableContents"/>
              <w:bidi w:val="0"/>
              <w:spacing w:before="0" w:after="283"/>
              <w:jc w:val="left"/>
              <w:rPr/>
            </w:pPr>
            <w:r>
              <w:rPr/>
              <w:t>  </w:t>
            </w:r>
          </w:p>
        </w:tc>
        <w:tc>
          <w:tcPr>
            <w:tcW w:w="1849" w:type="dxa"/>
            <w:tcBorders/>
            <w:vAlign w:val="bottom"/>
          </w:tcPr>
          <w:p>
            <w:pPr>
              <w:pStyle w:val="TableContents"/>
              <w:bidi w:val="0"/>
              <w:spacing w:before="0" w:after="283"/>
              <w:jc w:val="right"/>
              <w:rPr/>
            </w:pPr>
            <w:r>
              <w:rPr/>
              <w:t>7.05; 12.02</w:t>
            </w:r>
          </w:p>
        </w:tc>
      </w:tr>
      <w:tr>
        <w:trPr/>
        <w:tc>
          <w:tcPr>
            <w:tcW w:w="8222" w:type="dxa"/>
            <w:tcBorders/>
          </w:tcPr>
          <w:p>
            <w:pPr>
              <w:pStyle w:val="TableContents"/>
              <w:bidi w:val="0"/>
              <w:spacing w:before="0" w:after="0"/>
              <w:jc w:val="left"/>
              <w:rPr>
                <w:rFonts w:ascii="Times New Roman" w:hAnsi="Times New Roman"/>
                <w:sz w:val="20"/>
              </w:rPr>
            </w:pPr>
            <w:r>
              <w:rPr>
                <w:rFonts w:ascii="Times New Roman" w:hAnsi="Times New Roman"/>
                <w:sz w:val="20"/>
              </w:rPr>
              <w:t>(c)</w:t>
            </w:r>
          </w:p>
        </w:tc>
        <w:tc>
          <w:tcPr>
            <w:tcW w:w="134" w:type="dxa"/>
            <w:tcBorders/>
            <w:vAlign w:val="bottom"/>
          </w:tcPr>
          <w:p>
            <w:pPr>
              <w:pStyle w:val="TableContents"/>
              <w:bidi w:val="0"/>
              <w:spacing w:before="0" w:after="283"/>
              <w:jc w:val="left"/>
              <w:rPr/>
            </w:pPr>
            <w:r>
              <w:rPr/>
              <w:t>  </w:t>
            </w:r>
          </w:p>
        </w:tc>
        <w:tc>
          <w:tcPr>
            <w:tcW w:w="1849" w:type="dxa"/>
            <w:tcBorders/>
            <w:vAlign w:val="bottom"/>
          </w:tcPr>
          <w:p>
            <w:pPr>
              <w:pStyle w:val="TableContents"/>
              <w:bidi w:val="0"/>
              <w:spacing w:before="0" w:after="283"/>
              <w:jc w:val="right"/>
              <w:rPr/>
            </w:pPr>
            <w:r>
              <w:rPr/>
              <w:t>7.01(a)</w:t>
            </w:r>
          </w:p>
        </w:tc>
      </w:tr>
      <w:tr>
        <w:trPr/>
        <w:tc>
          <w:tcPr>
            <w:tcW w:w="8222" w:type="dxa"/>
            <w:tcBorders/>
          </w:tcPr>
          <w:p>
            <w:pPr>
              <w:pStyle w:val="TableContents"/>
              <w:bidi w:val="0"/>
              <w:spacing w:before="0" w:after="0"/>
              <w:jc w:val="left"/>
              <w:rPr>
                <w:rFonts w:ascii="Times New Roman" w:hAnsi="Times New Roman"/>
                <w:sz w:val="20"/>
              </w:rPr>
            </w:pPr>
            <w:r>
              <w:rPr>
                <w:rFonts w:ascii="Times New Roman" w:hAnsi="Times New Roman"/>
                <w:sz w:val="20"/>
              </w:rPr>
              <w:t>(d)</w:t>
            </w:r>
          </w:p>
        </w:tc>
        <w:tc>
          <w:tcPr>
            <w:tcW w:w="134" w:type="dxa"/>
            <w:tcBorders/>
            <w:vAlign w:val="bottom"/>
          </w:tcPr>
          <w:p>
            <w:pPr>
              <w:pStyle w:val="TableContents"/>
              <w:bidi w:val="0"/>
              <w:spacing w:before="0" w:after="283"/>
              <w:jc w:val="left"/>
              <w:rPr/>
            </w:pPr>
            <w:r>
              <w:rPr/>
              <w:t>  </w:t>
            </w:r>
          </w:p>
        </w:tc>
        <w:tc>
          <w:tcPr>
            <w:tcW w:w="1849" w:type="dxa"/>
            <w:tcBorders/>
            <w:vAlign w:val="bottom"/>
          </w:tcPr>
          <w:p>
            <w:pPr>
              <w:pStyle w:val="TableContents"/>
              <w:bidi w:val="0"/>
              <w:spacing w:before="0" w:after="283"/>
              <w:jc w:val="right"/>
              <w:rPr/>
            </w:pPr>
            <w:r>
              <w:rPr/>
              <w:t>7.01(c)</w:t>
            </w:r>
          </w:p>
        </w:tc>
      </w:tr>
      <w:tr>
        <w:trPr/>
        <w:tc>
          <w:tcPr>
            <w:tcW w:w="8222" w:type="dxa"/>
            <w:tcBorders/>
          </w:tcPr>
          <w:p>
            <w:pPr>
              <w:pStyle w:val="TableContents"/>
              <w:bidi w:val="0"/>
              <w:spacing w:before="0" w:after="0"/>
              <w:jc w:val="left"/>
              <w:rPr>
                <w:rFonts w:ascii="Times New Roman" w:hAnsi="Times New Roman"/>
                <w:sz w:val="20"/>
              </w:rPr>
            </w:pPr>
            <w:r>
              <w:rPr>
                <w:rFonts w:ascii="Times New Roman" w:hAnsi="Times New Roman"/>
                <w:sz w:val="20"/>
              </w:rPr>
              <w:t>(e)</w:t>
            </w:r>
          </w:p>
        </w:tc>
        <w:tc>
          <w:tcPr>
            <w:tcW w:w="134" w:type="dxa"/>
            <w:tcBorders/>
            <w:vAlign w:val="bottom"/>
          </w:tcPr>
          <w:p>
            <w:pPr>
              <w:pStyle w:val="TableContents"/>
              <w:bidi w:val="0"/>
              <w:spacing w:before="0" w:after="283"/>
              <w:jc w:val="left"/>
              <w:rPr/>
            </w:pPr>
            <w:r>
              <w:rPr/>
              <w:t>  </w:t>
            </w:r>
          </w:p>
        </w:tc>
        <w:tc>
          <w:tcPr>
            <w:tcW w:w="1849" w:type="dxa"/>
            <w:tcBorders/>
            <w:vAlign w:val="bottom"/>
          </w:tcPr>
          <w:p>
            <w:pPr>
              <w:pStyle w:val="TableContents"/>
              <w:bidi w:val="0"/>
              <w:spacing w:before="0" w:after="283"/>
              <w:jc w:val="right"/>
              <w:rPr/>
            </w:pPr>
            <w:r>
              <w:rPr/>
              <w:t>6.11</w:t>
            </w:r>
          </w:p>
        </w:tc>
      </w:tr>
      <w:tr>
        <w:trPr/>
        <w:tc>
          <w:tcPr>
            <w:tcW w:w="8222" w:type="dxa"/>
            <w:tcBorders/>
          </w:tcPr>
          <w:p>
            <w:pPr>
              <w:pStyle w:val="TableContents"/>
              <w:bidi w:val="0"/>
              <w:spacing w:before="0" w:after="0"/>
              <w:jc w:val="left"/>
              <w:rPr>
                <w:rFonts w:ascii="Times New Roman" w:hAnsi="Times New Roman"/>
                <w:sz w:val="20"/>
              </w:rPr>
            </w:pPr>
            <w:r>
              <w:rPr>
                <w:rFonts w:ascii="Times New Roman" w:hAnsi="Times New Roman"/>
                <w:sz w:val="20"/>
              </w:rPr>
              <w:t>316(a)(last sentence)</w:t>
            </w:r>
          </w:p>
        </w:tc>
        <w:tc>
          <w:tcPr>
            <w:tcW w:w="134" w:type="dxa"/>
            <w:tcBorders/>
            <w:vAlign w:val="bottom"/>
          </w:tcPr>
          <w:p>
            <w:pPr>
              <w:pStyle w:val="TableContents"/>
              <w:bidi w:val="0"/>
              <w:spacing w:before="0" w:after="283"/>
              <w:jc w:val="left"/>
              <w:rPr/>
            </w:pPr>
            <w:r>
              <w:rPr/>
              <w:t>  </w:t>
            </w:r>
          </w:p>
        </w:tc>
        <w:tc>
          <w:tcPr>
            <w:tcW w:w="1849" w:type="dxa"/>
            <w:tcBorders/>
            <w:vAlign w:val="bottom"/>
          </w:tcPr>
          <w:p>
            <w:pPr>
              <w:pStyle w:val="TableContents"/>
              <w:bidi w:val="0"/>
              <w:spacing w:before="0" w:after="283"/>
              <w:jc w:val="right"/>
              <w:rPr/>
            </w:pPr>
            <w:r>
              <w:rPr/>
              <w:t>12.06</w:t>
            </w:r>
          </w:p>
        </w:tc>
      </w:tr>
      <w:tr>
        <w:trPr/>
        <w:tc>
          <w:tcPr>
            <w:tcW w:w="8222" w:type="dxa"/>
            <w:tcBorders/>
          </w:tcPr>
          <w:p>
            <w:pPr>
              <w:pStyle w:val="TableContents"/>
              <w:bidi w:val="0"/>
              <w:spacing w:before="0" w:after="0"/>
              <w:jc w:val="left"/>
              <w:rPr>
                <w:rFonts w:ascii="Times New Roman" w:hAnsi="Times New Roman"/>
                <w:sz w:val="20"/>
              </w:rPr>
            </w:pPr>
            <w:r>
              <w:rPr>
                <w:rFonts w:ascii="Times New Roman" w:hAnsi="Times New Roman"/>
                <w:sz w:val="20"/>
              </w:rPr>
              <w:t>(a)(1)(A)</w:t>
            </w:r>
          </w:p>
        </w:tc>
        <w:tc>
          <w:tcPr>
            <w:tcW w:w="134" w:type="dxa"/>
            <w:tcBorders/>
            <w:vAlign w:val="bottom"/>
          </w:tcPr>
          <w:p>
            <w:pPr>
              <w:pStyle w:val="TableContents"/>
              <w:bidi w:val="0"/>
              <w:spacing w:before="0" w:after="283"/>
              <w:jc w:val="left"/>
              <w:rPr/>
            </w:pPr>
            <w:r>
              <w:rPr/>
              <w:t>  </w:t>
            </w:r>
          </w:p>
        </w:tc>
        <w:tc>
          <w:tcPr>
            <w:tcW w:w="1849" w:type="dxa"/>
            <w:tcBorders/>
            <w:vAlign w:val="bottom"/>
          </w:tcPr>
          <w:p>
            <w:pPr>
              <w:pStyle w:val="TableContents"/>
              <w:bidi w:val="0"/>
              <w:spacing w:before="0" w:after="283"/>
              <w:jc w:val="right"/>
              <w:rPr/>
            </w:pPr>
            <w:r>
              <w:rPr/>
              <w:t>6.05</w:t>
            </w:r>
          </w:p>
        </w:tc>
      </w:tr>
      <w:tr>
        <w:trPr/>
        <w:tc>
          <w:tcPr>
            <w:tcW w:w="8222" w:type="dxa"/>
            <w:tcBorders/>
          </w:tcPr>
          <w:p>
            <w:pPr>
              <w:pStyle w:val="TableContents"/>
              <w:bidi w:val="0"/>
              <w:spacing w:before="0" w:after="0"/>
              <w:jc w:val="left"/>
              <w:rPr>
                <w:rFonts w:ascii="Times New Roman" w:hAnsi="Times New Roman"/>
                <w:sz w:val="20"/>
              </w:rPr>
            </w:pPr>
            <w:r>
              <w:rPr>
                <w:rFonts w:ascii="Times New Roman" w:hAnsi="Times New Roman"/>
                <w:sz w:val="20"/>
              </w:rPr>
              <w:t>(a)(1)(B)</w:t>
            </w:r>
          </w:p>
        </w:tc>
        <w:tc>
          <w:tcPr>
            <w:tcW w:w="134" w:type="dxa"/>
            <w:tcBorders/>
            <w:vAlign w:val="bottom"/>
          </w:tcPr>
          <w:p>
            <w:pPr>
              <w:pStyle w:val="TableContents"/>
              <w:bidi w:val="0"/>
              <w:spacing w:before="0" w:after="283"/>
              <w:jc w:val="left"/>
              <w:rPr/>
            </w:pPr>
            <w:r>
              <w:rPr/>
              <w:t>  </w:t>
            </w:r>
          </w:p>
        </w:tc>
        <w:tc>
          <w:tcPr>
            <w:tcW w:w="1849" w:type="dxa"/>
            <w:tcBorders/>
            <w:vAlign w:val="bottom"/>
          </w:tcPr>
          <w:p>
            <w:pPr>
              <w:pStyle w:val="TableContents"/>
              <w:bidi w:val="0"/>
              <w:spacing w:before="0" w:after="283"/>
              <w:jc w:val="right"/>
              <w:rPr/>
            </w:pPr>
            <w:r>
              <w:rPr/>
              <w:t>6.04</w:t>
            </w:r>
          </w:p>
        </w:tc>
      </w:tr>
      <w:tr>
        <w:trPr/>
        <w:tc>
          <w:tcPr>
            <w:tcW w:w="8222" w:type="dxa"/>
            <w:tcBorders/>
          </w:tcPr>
          <w:p>
            <w:pPr>
              <w:pStyle w:val="TableContents"/>
              <w:bidi w:val="0"/>
              <w:spacing w:before="0" w:after="0"/>
              <w:jc w:val="left"/>
              <w:rPr>
                <w:rFonts w:ascii="Times New Roman" w:hAnsi="Times New Roman"/>
                <w:sz w:val="20"/>
              </w:rPr>
            </w:pPr>
            <w:r>
              <w:rPr>
                <w:rFonts w:ascii="Times New Roman" w:hAnsi="Times New Roman"/>
                <w:sz w:val="20"/>
              </w:rPr>
              <w:t>(a)(2)</w:t>
            </w:r>
          </w:p>
        </w:tc>
        <w:tc>
          <w:tcPr>
            <w:tcW w:w="134" w:type="dxa"/>
            <w:tcBorders/>
            <w:vAlign w:val="bottom"/>
          </w:tcPr>
          <w:p>
            <w:pPr>
              <w:pStyle w:val="TableContents"/>
              <w:bidi w:val="0"/>
              <w:spacing w:before="0" w:after="283"/>
              <w:jc w:val="left"/>
              <w:rPr/>
            </w:pPr>
            <w:r>
              <w:rPr/>
              <w:t>  </w:t>
            </w:r>
          </w:p>
        </w:tc>
        <w:tc>
          <w:tcPr>
            <w:tcW w:w="1849" w:type="dxa"/>
            <w:tcBorders/>
            <w:vAlign w:val="bottom"/>
          </w:tcPr>
          <w:p>
            <w:pPr>
              <w:pStyle w:val="TableContents"/>
              <w:bidi w:val="0"/>
              <w:spacing w:before="0" w:after="283"/>
              <w:jc w:val="right"/>
              <w:rPr/>
            </w:pPr>
            <w:r>
              <w:rPr/>
              <w:t>N.A.</w:t>
            </w:r>
          </w:p>
        </w:tc>
      </w:tr>
      <w:tr>
        <w:trPr/>
        <w:tc>
          <w:tcPr>
            <w:tcW w:w="8222" w:type="dxa"/>
            <w:tcBorders/>
          </w:tcPr>
          <w:p>
            <w:pPr>
              <w:pStyle w:val="TableContents"/>
              <w:bidi w:val="0"/>
              <w:spacing w:before="0" w:after="0"/>
              <w:jc w:val="left"/>
              <w:rPr>
                <w:rFonts w:ascii="Times New Roman" w:hAnsi="Times New Roman"/>
                <w:sz w:val="20"/>
              </w:rPr>
            </w:pPr>
            <w:r>
              <w:rPr>
                <w:rFonts w:ascii="Times New Roman" w:hAnsi="Times New Roman"/>
                <w:sz w:val="20"/>
              </w:rPr>
              <w:t>(b)</w:t>
            </w:r>
          </w:p>
        </w:tc>
        <w:tc>
          <w:tcPr>
            <w:tcW w:w="134" w:type="dxa"/>
            <w:tcBorders/>
            <w:vAlign w:val="bottom"/>
          </w:tcPr>
          <w:p>
            <w:pPr>
              <w:pStyle w:val="TableContents"/>
              <w:bidi w:val="0"/>
              <w:spacing w:before="0" w:after="283"/>
              <w:jc w:val="left"/>
              <w:rPr/>
            </w:pPr>
            <w:r>
              <w:rPr/>
              <w:t>  </w:t>
            </w:r>
          </w:p>
        </w:tc>
        <w:tc>
          <w:tcPr>
            <w:tcW w:w="1849" w:type="dxa"/>
            <w:tcBorders/>
            <w:vAlign w:val="bottom"/>
          </w:tcPr>
          <w:p>
            <w:pPr>
              <w:pStyle w:val="TableContents"/>
              <w:bidi w:val="0"/>
              <w:spacing w:before="0" w:after="283"/>
              <w:jc w:val="right"/>
              <w:rPr/>
            </w:pPr>
            <w:r>
              <w:rPr/>
              <w:t>6.07</w:t>
            </w:r>
          </w:p>
        </w:tc>
      </w:tr>
      <w:tr>
        <w:trPr/>
        <w:tc>
          <w:tcPr>
            <w:tcW w:w="8222" w:type="dxa"/>
            <w:tcBorders/>
          </w:tcPr>
          <w:p>
            <w:pPr>
              <w:pStyle w:val="TableContents"/>
              <w:bidi w:val="0"/>
              <w:spacing w:before="0" w:after="0"/>
              <w:jc w:val="left"/>
              <w:rPr>
                <w:rFonts w:ascii="Times New Roman" w:hAnsi="Times New Roman"/>
                <w:sz w:val="20"/>
              </w:rPr>
            </w:pPr>
            <w:r>
              <w:rPr>
                <w:rFonts w:ascii="Times New Roman" w:hAnsi="Times New Roman"/>
                <w:sz w:val="20"/>
              </w:rPr>
              <w:t>317(a)(1)</w:t>
            </w:r>
          </w:p>
        </w:tc>
        <w:tc>
          <w:tcPr>
            <w:tcW w:w="134" w:type="dxa"/>
            <w:tcBorders/>
            <w:vAlign w:val="bottom"/>
          </w:tcPr>
          <w:p>
            <w:pPr>
              <w:pStyle w:val="TableContents"/>
              <w:bidi w:val="0"/>
              <w:spacing w:before="0" w:after="283"/>
              <w:jc w:val="left"/>
              <w:rPr/>
            </w:pPr>
            <w:r>
              <w:rPr/>
              <w:t>  </w:t>
            </w:r>
          </w:p>
        </w:tc>
        <w:tc>
          <w:tcPr>
            <w:tcW w:w="1849" w:type="dxa"/>
            <w:tcBorders/>
            <w:vAlign w:val="bottom"/>
          </w:tcPr>
          <w:p>
            <w:pPr>
              <w:pStyle w:val="TableContents"/>
              <w:bidi w:val="0"/>
              <w:spacing w:before="0" w:after="283"/>
              <w:jc w:val="right"/>
              <w:rPr/>
            </w:pPr>
            <w:r>
              <w:rPr/>
              <w:t>6.08</w:t>
            </w:r>
          </w:p>
        </w:tc>
      </w:tr>
      <w:tr>
        <w:trPr/>
        <w:tc>
          <w:tcPr>
            <w:tcW w:w="8222" w:type="dxa"/>
            <w:tcBorders/>
          </w:tcPr>
          <w:p>
            <w:pPr>
              <w:pStyle w:val="TableContents"/>
              <w:bidi w:val="0"/>
              <w:spacing w:before="0" w:after="0"/>
              <w:jc w:val="left"/>
              <w:rPr>
                <w:rFonts w:ascii="Times New Roman" w:hAnsi="Times New Roman"/>
                <w:sz w:val="20"/>
              </w:rPr>
            </w:pPr>
            <w:r>
              <w:rPr>
                <w:rFonts w:ascii="Times New Roman" w:hAnsi="Times New Roman"/>
                <w:sz w:val="20"/>
              </w:rPr>
              <w:t>(a)(2)</w:t>
            </w:r>
          </w:p>
        </w:tc>
        <w:tc>
          <w:tcPr>
            <w:tcW w:w="134" w:type="dxa"/>
            <w:tcBorders/>
            <w:vAlign w:val="bottom"/>
          </w:tcPr>
          <w:p>
            <w:pPr>
              <w:pStyle w:val="TableContents"/>
              <w:bidi w:val="0"/>
              <w:spacing w:before="0" w:after="283"/>
              <w:jc w:val="left"/>
              <w:rPr/>
            </w:pPr>
            <w:r>
              <w:rPr/>
              <w:t>  </w:t>
            </w:r>
          </w:p>
        </w:tc>
        <w:tc>
          <w:tcPr>
            <w:tcW w:w="1849" w:type="dxa"/>
            <w:tcBorders/>
            <w:vAlign w:val="bottom"/>
          </w:tcPr>
          <w:p>
            <w:pPr>
              <w:pStyle w:val="TableContents"/>
              <w:bidi w:val="0"/>
              <w:spacing w:before="0" w:after="283"/>
              <w:jc w:val="right"/>
              <w:rPr/>
            </w:pPr>
            <w:r>
              <w:rPr/>
              <w:t>6.09</w:t>
            </w:r>
          </w:p>
        </w:tc>
      </w:tr>
      <w:tr>
        <w:trPr/>
        <w:tc>
          <w:tcPr>
            <w:tcW w:w="8222" w:type="dxa"/>
            <w:tcBorders/>
          </w:tcPr>
          <w:p>
            <w:pPr>
              <w:pStyle w:val="TableContents"/>
              <w:bidi w:val="0"/>
              <w:spacing w:before="0" w:after="0"/>
              <w:jc w:val="left"/>
              <w:rPr>
                <w:rFonts w:ascii="Times New Roman" w:hAnsi="Times New Roman"/>
                <w:sz w:val="20"/>
              </w:rPr>
            </w:pPr>
            <w:r>
              <w:rPr>
                <w:rFonts w:ascii="Times New Roman" w:hAnsi="Times New Roman"/>
                <w:sz w:val="20"/>
              </w:rPr>
              <w:t>(b)d</w:t>
            </w:r>
          </w:p>
        </w:tc>
        <w:tc>
          <w:tcPr>
            <w:tcW w:w="134" w:type="dxa"/>
            <w:tcBorders/>
            <w:vAlign w:val="bottom"/>
          </w:tcPr>
          <w:p>
            <w:pPr>
              <w:pStyle w:val="TableContents"/>
              <w:bidi w:val="0"/>
              <w:spacing w:before="0" w:after="283"/>
              <w:jc w:val="left"/>
              <w:rPr/>
            </w:pPr>
            <w:r>
              <w:rPr/>
              <w:t>  </w:t>
            </w:r>
          </w:p>
        </w:tc>
        <w:tc>
          <w:tcPr>
            <w:tcW w:w="1849" w:type="dxa"/>
            <w:tcBorders/>
            <w:vAlign w:val="bottom"/>
          </w:tcPr>
          <w:p>
            <w:pPr>
              <w:pStyle w:val="TableContents"/>
              <w:bidi w:val="0"/>
              <w:spacing w:before="0" w:after="283"/>
              <w:jc w:val="right"/>
              <w:rPr/>
            </w:pPr>
            <w:r>
              <w:rPr/>
              <w:t>2.04</w:t>
            </w:r>
          </w:p>
        </w:tc>
      </w:tr>
      <w:tr>
        <w:trPr/>
        <w:tc>
          <w:tcPr>
            <w:tcW w:w="8222" w:type="dxa"/>
            <w:tcBorders/>
          </w:tcPr>
          <w:p>
            <w:pPr>
              <w:pStyle w:val="TableContents"/>
              <w:bidi w:val="0"/>
              <w:spacing w:before="0" w:after="0"/>
              <w:jc w:val="left"/>
              <w:rPr>
                <w:rFonts w:ascii="Times New Roman" w:hAnsi="Times New Roman"/>
                <w:sz w:val="20"/>
              </w:rPr>
            </w:pPr>
            <w:r>
              <w:rPr>
                <w:rFonts w:ascii="Times New Roman" w:hAnsi="Times New Roman"/>
                <w:sz w:val="20"/>
              </w:rPr>
              <w:t>318(a)</w:t>
            </w:r>
          </w:p>
        </w:tc>
        <w:tc>
          <w:tcPr>
            <w:tcW w:w="134" w:type="dxa"/>
            <w:tcBorders/>
            <w:vAlign w:val="bottom"/>
          </w:tcPr>
          <w:p>
            <w:pPr>
              <w:pStyle w:val="TableContents"/>
              <w:bidi w:val="0"/>
              <w:spacing w:before="0" w:after="283"/>
              <w:jc w:val="left"/>
              <w:rPr/>
            </w:pPr>
            <w:r>
              <w:rPr/>
              <w:t>  </w:t>
            </w:r>
          </w:p>
        </w:tc>
        <w:tc>
          <w:tcPr>
            <w:tcW w:w="1849" w:type="dxa"/>
            <w:tcBorders/>
            <w:vAlign w:val="bottom"/>
          </w:tcPr>
          <w:p>
            <w:pPr>
              <w:pStyle w:val="TableContents"/>
              <w:bidi w:val="0"/>
              <w:spacing w:before="0" w:after="283"/>
              <w:jc w:val="right"/>
              <w:rPr/>
            </w:pPr>
            <w:r>
              <w:rPr/>
              <w:t>12.01</w:t>
            </w:r>
          </w:p>
        </w:tc>
      </w:tr>
    </w:tbl>
    <w:p>
      <w:pPr>
        <w:pStyle w:val="TextBody"/>
        <w:bidi w:val="0"/>
        <w:spacing w:before="240" w:after="0"/>
        <w:jc w:val="left"/>
        <w:rPr>
          <w:rFonts w:ascii="Times New Roman" w:hAnsi="Times New Roman"/>
          <w:sz w:val="20"/>
        </w:rPr>
      </w:pPr>
      <w:r>
        <w:rPr>
          <w:rFonts w:ascii="Times New Roman" w:hAnsi="Times New Roman"/>
          <w:sz w:val="20"/>
        </w:rPr>
        <w:t xml:space="preserve">N.A. means Not Applicable.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This Table of Contents is not a part of the Indenture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ONE </w:t>
      </w:r>
    </w:p>
    <w:p>
      <w:pPr>
        <w:pStyle w:val="TextBody"/>
        <w:bidi w:val="0"/>
        <w:spacing w:before="120" w:after="0"/>
        <w:jc w:val="center"/>
        <w:rPr>
          <w:rFonts w:ascii="Times New Roman" w:hAnsi="Times New Roman"/>
          <w:b/>
          <w:sz w:val="20"/>
        </w:rPr>
      </w:pPr>
      <w:r>
        <w:rPr>
          <w:rFonts w:ascii="Times New Roman" w:hAnsi="Times New Roman"/>
          <w:b/>
          <w:sz w:val="20"/>
        </w:rPr>
        <w:t xml:space="preserve">DEFINITIONS AND INCORPORATION BY REFERENCE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43"/>
        <w:gridCol w:w="124"/>
        <w:gridCol w:w="7880"/>
        <w:gridCol w:w="167"/>
        <w:gridCol w:w="60"/>
        <w:gridCol w:w="267"/>
        <w:gridCol w:w="64"/>
      </w:tblGrid>
      <w:tr>
        <w:trPr/>
        <w:tc>
          <w:tcPr>
            <w:tcW w:w="1643"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7880"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6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124" w:type="dxa"/>
            <w:tcBorders/>
            <w:vAlign w:val="bottom"/>
          </w:tcPr>
          <w:p>
            <w:pPr>
              <w:pStyle w:val="TableContents"/>
              <w:bidi w:val="0"/>
              <w:spacing w:before="0" w:after="283"/>
              <w:jc w:val="left"/>
              <w:rPr/>
            </w:pPr>
            <w:r>
              <w:rPr/>
              <w:t> </w:t>
            </w:r>
          </w:p>
        </w:tc>
        <w:tc>
          <w:tcPr>
            <w:tcW w:w="78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Definitions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rHeight w:val="120" w:hRule="atLeast"/>
        </w:trPr>
        <w:tc>
          <w:tcPr>
            <w:tcW w:w="1643" w:type="dxa"/>
            <w:tcBorders/>
            <w:vAlign w:val="center"/>
          </w:tcPr>
          <w:p>
            <w:pPr>
              <w:pStyle w:val="TableContents"/>
              <w:bidi w:val="0"/>
              <w:spacing w:before="0" w:after="283"/>
              <w:jc w:val="left"/>
              <w:rPr>
                <w:sz w:val="4"/>
                <w:szCs w:val="4"/>
              </w:rPr>
            </w:pPr>
            <w:r>
              <w:rPr>
                <w:sz w:val="4"/>
                <w:szCs w:val="4"/>
              </w:rPr>
            </w:r>
          </w:p>
        </w:tc>
        <w:tc>
          <w:tcPr>
            <w:tcW w:w="8004" w:type="dxa"/>
            <w:gridSpan w:val="2"/>
            <w:tcBorders/>
            <w:vAlign w:val="center"/>
          </w:tcPr>
          <w:p>
            <w:pPr>
              <w:pStyle w:val="TableContents"/>
              <w:bidi w:val="0"/>
              <w:spacing w:before="0" w:after="283"/>
              <w:jc w:val="left"/>
              <w:rPr>
                <w:sz w:val="4"/>
                <w:szCs w:val="4"/>
              </w:rPr>
            </w:pPr>
            <w:r>
              <w:rPr>
                <w:sz w:val="4"/>
                <w:szCs w:val="4"/>
              </w:rPr>
            </w:r>
          </w:p>
        </w:tc>
        <w:tc>
          <w:tcPr>
            <w:tcW w:w="558" w:type="dxa"/>
            <w:gridSpan w:val="4"/>
            <w:tcBorders/>
            <w:vAlign w:val="center"/>
          </w:tcPr>
          <w:p>
            <w:pPr>
              <w:pStyle w:val="TableContents"/>
              <w:bidi w:val="0"/>
              <w:spacing w:before="0" w:after="283"/>
              <w:jc w:val="left"/>
              <w:rPr>
                <w:sz w:val="4"/>
                <w:szCs w:val="4"/>
              </w:rPr>
            </w:pPr>
            <w:r>
              <w:rPr>
                <w:sz w:val="4"/>
                <w:szCs w:val="4"/>
              </w:rPr>
            </w:r>
          </w:p>
        </w:tc>
      </w:tr>
      <w:tr>
        <w:trPr/>
        <w:tc>
          <w:tcPr>
            <w:tcW w:w="16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124" w:type="dxa"/>
            <w:tcBorders/>
            <w:vAlign w:val="bottom"/>
          </w:tcPr>
          <w:p>
            <w:pPr>
              <w:pStyle w:val="TableContents"/>
              <w:bidi w:val="0"/>
              <w:spacing w:before="0" w:after="283"/>
              <w:jc w:val="left"/>
              <w:rPr/>
            </w:pPr>
            <w:r>
              <w:rPr/>
              <w:t> </w:t>
            </w:r>
          </w:p>
        </w:tc>
        <w:tc>
          <w:tcPr>
            <w:tcW w:w="78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Other Definitions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4</w:t>
            </w:r>
          </w:p>
        </w:tc>
        <w:tc>
          <w:tcPr>
            <w:tcW w:w="64" w:type="dxa"/>
            <w:tcBorders/>
            <w:vAlign w:val="bottom"/>
          </w:tcPr>
          <w:p>
            <w:pPr>
              <w:pStyle w:val="TableContents"/>
              <w:bidi w:val="0"/>
              <w:spacing w:before="0" w:after="283"/>
              <w:jc w:val="left"/>
              <w:rPr/>
            </w:pPr>
            <w:r>
              <w:rPr/>
              <w:t> </w:t>
            </w:r>
          </w:p>
        </w:tc>
      </w:tr>
      <w:tr>
        <w:trPr>
          <w:trHeight w:val="120" w:hRule="atLeast"/>
        </w:trPr>
        <w:tc>
          <w:tcPr>
            <w:tcW w:w="1643" w:type="dxa"/>
            <w:tcBorders/>
            <w:vAlign w:val="center"/>
          </w:tcPr>
          <w:p>
            <w:pPr>
              <w:pStyle w:val="TableContents"/>
              <w:bidi w:val="0"/>
              <w:spacing w:before="0" w:after="283"/>
              <w:jc w:val="left"/>
              <w:rPr>
                <w:sz w:val="4"/>
                <w:szCs w:val="4"/>
              </w:rPr>
            </w:pPr>
            <w:r>
              <w:rPr>
                <w:sz w:val="4"/>
                <w:szCs w:val="4"/>
              </w:rPr>
            </w:r>
          </w:p>
        </w:tc>
        <w:tc>
          <w:tcPr>
            <w:tcW w:w="8004" w:type="dxa"/>
            <w:gridSpan w:val="2"/>
            <w:tcBorders/>
            <w:vAlign w:val="center"/>
          </w:tcPr>
          <w:p>
            <w:pPr>
              <w:pStyle w:val="TableContents"/>
              <w:bidi w:val="0"/>
              <w:spacing w:before="0" w:after="283"/>
              <w:jc w:val="left"/>
              <w:rPr>
                <w:sz w:val="4"/>
                <w:szCs w:val="4"/>
              </w:rPr>
            </w:pPr>
            <w:r>
              <w:rPr>
                <w:sz w:val="4"/>
                <w:szCs w:val="4"/>
              </w:rPr>
            </w:r>
          </w:p>
        </w:tc>
        <w:tc>
          <w:tcPr>
            <w:tcW w:w="558" w:type="dxa"/>
            <w:gridSpan w:val="4"/>
            <w:tcBorders/>
            <w:vAlign w:val="center"/>
          </w:tcPr>
          <w:p>
            <w:pPr>
              <w:pStyle w:val="TableContents"/>
              <w:bidi w:val="0"/>
              <w:spacing w:before="0" w:after="283"/>
              <w:jc w:val="left"/>
              <w:rPr>
                <w:sz w:val="4"/>
                <w:szCs w:val="4"/>
              </w:rPr>
            </w:pPr>
            <w:r>
              <w:rPr>
                <w:sz w:val="4"/>
                <w:szCs w:val="4"/>
              </w:rPr>
            </w:r>
          </w:p>
        </w:tc>
      </w:tr>
      <w:tr>
        <w:trPr/>
        <w:tc>
          <w:tcPr>
            <w:tcW w:w="16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124" w:type="dxa"/>
            <w:tcBorders/>
            <w:vAlign w:val="bottom"/>
          </w:tcPr>
          <w:p>
            <w:pPr>
              <w:pStyle w:val="TableContents"/>
              <w:bidi w:val="0"/>
              <w:spacing w:before="0" w:after="283"/>
              <w:jc w:val="left"/>
              <w:rPr/>
            </w:pPr>
            <w:r>
              <w:rPr/>
              <w:t> </w:t>
            </w:r>
          </w:p>
        </w:tc>
        <w:tc>
          <w:tcPr>
            <w:tcW w:w="78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Incorporation by Reference of Trust Indenture Act</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4</w:t>
            </w:r>
          </w:p>
        </w:tc>
        <w:tc>
          <w:tcPr>
            <w:tcW w:w="64" w:type="dxa"/>
            <w:tcBorders/>
            <w:vAlign w:val="bottom"/>
          </w:tcPr>
          <w:p>
            <w:pPr>
              <w:pStyle w:val="TableContents"/>
              <w:bidi w:val="0"/>
              <w:spacing w:before="0" w:after="283"/>
              <w:jc w:val="left"/>
              <w:rPr/>
            </w:pPr>
            <w:r>
              <w:rPr/>
              <w:t> </w:t>
            </w:r>
          </w:p>
        </w:tc>
      </w:tr>
      <w:tr>
        <w:trPr>
          <w:trHeight w:val="120" w:hRule="atLeast"/>
        </w:trPr>
        <w:tc>
          <w:tcPr>
            <w:tcW w:w="1643" w:type="dxa"/>
            <w:tcBorders/>
            <w:vAlign w:val="center"/>
          </w:tcPr>
          <w:p>
            <w:pPr>
              <w:pStyle w:val="TableContents"/>
              <w:bidi w:val="0"/>
              <w:spacing w:before="0" w:after="283"/>
              <w:jc w:val="left"/>
              <w:rPr>
                <w:sz w:val="4"/>
                <w:szCs w:val="4"/>
              </w:rPr>
            </w:pPr>
            <w:r>
              <w:rPr>
                <w:sz w:val="4"/>
                <w:szCs w:val="4"/>
              </w:rPr>
            </w:r>
          </w:p>
        </w:tc>
        <w:tc>
          <w:tcPr>
            <w:tcW w:w="8004" w:type="dxa"/>
            <w:gridSpan w:val="2"/>
            <w:tcBorders/>
            <w:vAlign w:val="center"/>
          </w:tcPr>
          <w:p>
            <w:pPr>
              <w:pStyle w:val="TableContents"/>
              <w:bidi w:val="0"/>
              <w:spacing w:before="0" w:after="283"/>
              <w:jc w:val="left"/>
              <w:rPr>
                <w:sz w:val="4"/>
                <w:szCs w:val="4"/>
              </w:rPr>
            </w:pPr>
            <w:r>
              <w:rPr>
                <w:sz w:val="4"/>
                <w:szCs w:val="4"/>
              </w:rPr>
            </w:r>
          </w:p>
        </w:tc>
        <w:tc>
          <w:tcPr>
            <w:tcW w:w="558" w:type="dxa"/>
            <w:gridSpan w:val="4"/>
            <w:tcBorders/>
            <w:vAlign w:val="center"/>
          </w:tcPr>
          <w:p>
            <w:pPr>
              <w:pStyle w:val="TableContents"/>
              <w:bidi w:val="0"/>
              <w:spacing w:before="0" w:after="283"/>
              <w:jc w:val="left"/>
              <w:rPr>
                <w:sz w:val="4"/>
                <w:szCs w:val="4"/>
              </w:rPr>
            </w:pPr>
            <w:r>
              <w:rPr>
                <w:sz w:val="4"/>
                <w:szCs w:val="4"/>
              </w:rPr>
            </w:r>
          </w:p>
        </w:tc>
      </w:tr>
      <w:tr>
        <w:trPr/>
        <w:tc>
          <w:tcPr>
            <w:tcW w:w="16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1.04</w:t>
            </w:r>
          </w:p>
        </w:tc>
        <w:tc>
          <w:tcPr>
            <w:tcW w:w="124" w:type="dxa"/>
            <w:tcBorders/>
            <w:vAlign w:val="bottom"/>
          </w:tcPr>
          <w:p>
            <w:pPr>
              <w:pStyle w:val="TableContents"/>
              <w:bidi w:val="0"/>
              <w:spacing w:before="0" w:after="283"/>
              <w:jc w:val="left"/>
              <w:rPr/>
            </w:pPr>
            <w:r>
              <w:rPr/>
              <w:t> </w:t>
            </w:r>
          </w:p>
        </w:tc>
        <w:tc>
          <w:tcPr>
            <w:tcW w:w="78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Rules of Construction</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4</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b/>
              </w:rPr>
            </w:pPr>
            <w:r>
              <w:rPr>
                <w:b/>
              </w:rPr>
              <w:t>ARTICLE TWO</w:t>
            </w:r>
          </w:p>
        </w:tc>
        <w:tc>
          <w:tcPr>
            <w:tcW w:w="64"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b/>
              </w:rPr>
            </w:pPr>
            <w:r>
              <w:rPr>
                <w:b/>
              </w:rPr>
              <w:t>THE SECURITIES</w:t>
            </w:r>
          </w:p>
        </w:tc>
        <w:tc>
          <w:tcPr>
            <w:tcW w:w="64" w:type="dxa"/>
            <w:tcBorders/>
          </w:tcPr>
          <w:p>
            <w:pPr>
              <w:pStyle w:val="TableContents"/>
              <w:bidi w:val="0"/>
              <w:spacing w:before="0" w:after="0"/>
              <w:jc w:val="left"/>
              <w:rPr/>
            </w:pPr>
            <w:r>
              <w:rPr/>
              <w:t> </w:t>
            </w:r>
          </w:p>
        </w:tc>
      </w:tr>
      <w:tr>
        <w:trPr>
          <w:trHeight w:val="120" w:hRule="atLeast"/>
        </w:trPr>
        <w:tc>
          <w:tcPr>
            <w:tcW w:w="1643" w:type="dxa"/>
            <w:tcBorders/>
            <w:vAlign w:val="center"/>
          </w:tcPr>
          <w:p>
            <w:pPr>
              <w:pStyle w:val="TableContents"/>
              <w:bidi w:val="0"/>
              <w:spacing w:before="0" w:after="283"/>
              <w:jc w:val="left"/>
              <w:rPr>
                <w:sz w:val="4"/>
                <w:szCs w:val="4"/>
              </w:rPr>
            </w:pPr>
            <w:r>
              <w:rPr>
                <w:sz w:val="4"/>
                <w:szCs w:val="4"/>
              </w:rPr>
            </w:r>
          </w:p>
        </w:tc>
        <w:tc>
          <w:tcPr>
            <w:tcW w:w="8004" w:type="dxa"/>
            <w:gridSpan w:val="2"/>
            <w:tcBorders/>
            <w:vAlign w:val="center"/>
          </w:tcPr>
          <w:p>
            <w:pPr>
              <w:pStyle w:val="TableContents"/>
              <w:bidi w:val="0"/>
              <w:spacing w:before="0" w:after="283"/>
              <w:jc w:val="left"/>
              <w:rPr>
                <w:sz w:val="4"/>
                <w:szCs w:val="4"/>
              </w:rPr>
            </w:pPr>
            <w:r>
              <w:rPr>
                <w:sz w:val="4"/>
                <w:szCs w:val="4"/>
              </w:rPr>
            </w:r>
          </w:p>
        </w:tc>
        <w:tc>
          <w:tcPr>
            <w:tcW w:w="558" w:type="dxa"/>
            <w:gridSpan w:val="4"/>
            <w:tcBorders/>
            <w:vAlign w:val="center"/>
          </w:tcPr>
          <w:p>
            <w:pPr>
              <w:pStyle w:val="TableContents"/>
              <w:bidi w:val="0"/>
              <w:spacing w:before="0" w:after="283"/>
              <w:jc w:val="left"/>
              <w:rPr>
                <w:sz w:val="4"/>
                <w:szCs w:val="4"/>
              </w:rPr>
            </w:pPr>
            <w:r>
              <w:rPr>
                <w:sz w:val="4"/>
                <w:szCs w:val="4"/>
              </w:rPr>
            </w:r>
          </w:p>
        </w:tc>
      </w:tr>
      <w:tr>
        <w:trPr/>
        <w:tc>
          <w:tcPr>
            <w:tcW w:w="16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124" w:type="dxa"/>
            <w:tcBorders/>
            <w:vAlign w:val="bottom"/>
          </w:tcPr>
          <w:p>
            <w:pPr>
              <w:pStyle w:val="TableContents"/>
              <w:bidi w:val="0"/>
              <w:spacing w:before="0" w:after="283"/>
              <w:jc w:val="left"/>
              <w:rPr/>
            </w:pPr>
            <w:r>
              <w:rPr/>
              <w:t> </w:t>
            </w:r>
          </w:p>
        </w:tc>
        <w:tc>
          <w:tcPr>
            <w:tcW w:w="78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and Dating</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5</w:t>
            </w:r>
          </w:p>
        </w:tc>
        <w:tc>
          <w:tcPr>
            <w:tcW w:w="64" w:type="dxa"/>
            <w:tcBorders/>
            <w:vAlign w:val="bottom"/>
          </w:tcPr>
          <w:p>
            <w:pPr>
              <w:pStyle w:val="TableContents"/>
              <w:bidi w:val="0"/>
              <w:spacing w:before="0" w:after="283"/>
              <w:jc w:val="left"/>
              <w:rPr/>
            </w:pPr>
            <w:r>
              <w:rPr/>
              <w:t> </w:t>
            </w:r>
          </w:p>
        </w:tc>
      </w:tr>
      <w:tr>
        <w:trPr>
          <w:trHeight w:val="120" w:hRule="atLeast"/>
        </w:trPr>
        <w:tc>
          <w:tcPr>
            <w:tcW w:w="1643" w:type="dxa"/>
            <w:tcBorders/>
            <w:vAlign w:val="center"/>
          </w:tcPr>
          <w:p>
            <w:pPr>
              <w:pStyle w:val="TableContents"/>
              <w:bidi w:val="0"/>
              <w:spacing w:before="0" w:after="283"/>
              <w:jc w:val="left"/>
              <w:rPr>
                <w:sz w:val="4"/>
                <w:szCs w:val="4"/>
              </w:rPr>
            </w:pPr>
            <w:r>
              <w:rPr>
                <w:sz w:val="4"/>
                <w:szCs w:val="4"/>
              </w:rPr>
            </w:r>
          </w:p>
        </w:tc>
        <w:tc>
          <w:tcPr>
            <w:tcW w:w="8004" w:type="dxa"/>
            <w:gridSpan w:val="2"/>
            <w:tcBorders/>
            <w:vAlign w:val="center"/>
          </w:tcPr>
          <w:p>
            <w:pPr>
              <w:pStyle w:val="TableContents"/>
              <w:bidi w:val="0"/>
              <w:spacing w:before="0" w:after="283"/>
              <w:jc w:val="left"/>
              <w:rPr>
                <w:sz w:val="4"/>
                <w:szCs w:val="4"/>
              </w:rPr>
            </w:pPr>
            <w:r>
              <w:rPr>
                <w:sz w:val="4"/>
                <w:szCs w:val="4"/>
              </w:rPr>
            </w:r>
          </w:p>
        </w:tc>
        <w:tc>
          <w:tcPr>
            <w:tcW w:w="558" w:type="dxa"/>
            <w:gridSpan w:val="4"/>
            <w:tcBorders/>
            <w:vAlign w:val="center"/>
          </w:tcPr>
          <w:p>
            <w:pPr>
              <w:pStyle w:val="TableContents"/>
              <w:bidi w:val="0"/>
              <w:spacing w:before="0" w:after="283"/>
              <w:jc w:val="left"/>
              <w:rPr>
                <w:sz w:val="4"/>
                <w:szCs w:val="4"/>
              </w:rPr>
            </w:pPr>
            <w:r>
              <w:rPr>
                <w:sz w:val="4"/>
                <w:szCs w:val="4"/>
              </w:rPr>
            </w:r>
          </w:p>
        </w:tc>
      </w:tr>
      <w:tr>
        <w:trPr/>
        <w:tc>
          <w:tcPr>
            <w:tcW w:w="16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124" w:type="dxa"/>
            <w:tcBorders/>
            <w:vAlign w:val="bottom"/>
          </w:tcPr>
          <w:p>
            <w:pPr>
              <w:pStyle w:val="TableContents"/>
              <w:bidi w:val="0"/>
              <w:spacing w:before="0" w:after="283"/>
              <w:jc w:val="left"/>
              <w:rPr/>
            </w:pPr>
            <w:r>
              <w:rPr/>
              <w:t> </w:t>
            </w:r>
          </w:p>
        </w:tc>
        <w:tc>
          <w:tcPr>
            <w:tcW w:w="78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Execution and Authentication</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6</w:t>
            </w:r>
          </w:p>
        </w:tc>
        <w:tc>
          <w:tcPr>
            <w:tcW w:w="64" w:type="dxa"/>
            <w:tcBorders/>
            <w:vAlign w:val="bottom"/>
          </w:tcPr>
          <w:p>
            <w:pPr>
              <w:pStyle w:val="TableContents"/>
              <w:bidi w:val="0"/>
              <w:spacing w:before="0" w:after="283"/>
              <w:jc w:val="left"/>
              <w:rPr/>
            </w:pPr>
            <w:r>
              <w:rPr/>
              <w:t> </w:t>
            </w:r>
          </w:p>
        </w:tc>
      </w:tr>
      <w:tr>
        <w:trPr>
          <w:trHeight w:val="120" w:hRule="atLeast"/>
        </w:trPr>
        <w:tc>
          <w:tcPr>
            <w:tcW w:w="1643" w:type="dxa"/>
            <w:tcBorders/>
            <w:vAlign w:val="center"/>
          </w:tcPr>
          <w:p>
            <w:pPr>
              <w:pStyle w:val="TableContents"/>
              <w:bidi w:val="0"/>
              <w:spacing w:before="0" w:after="283"/>
              <w:jc w:val="left"/>
              <w:rPr>
                <w:sz w:val="4"/>
                <w:szCs w:val="4"/>
              </w:rPr>
            </w:pPr>
            <w:r>
              <w:rPr>
                <w:sz w:val="4"/>
                <w:szCs w:val="4"/>
              </w:rPr>
            </w:r>
          </w:p>
        </w:tc>
        <w:tc>
          <w:tcPr>
            <w:tcW w:w="8004" w:type="dxa"/>
            <w:gridSpan w:val="2"/>
            <w:tcBorders/>
            <w:vAlign w:val="center"/>
          </w:tcPr>
          <w:p>
            <w:pPr>
              <w:pStyle w:val="TableContents"/>
              <w:bidi w:val="0"/>
              <w:spacing w:before="0" w:after="283"/>
              <w:jc w:val="left"/>
              <w:rPr>
                <w:sz w:val="4"/>
                <w:szCs w:val="4"/>
              </w:rPr>
            </w:pPr>
            <w:r>
              <w:rPr>
                <w:sz w:val="4"/>
                <w:szCs w:val="4"/>
              </w:rPr>
            </w:r>
          </w:p>
        </w:tc>
        <w:tc>
          <w:tcPr>
            <w:tcW w:w="558" w:type="dxa"/>
            <w:gridSpan w:val="4"/>
            <w:tcBorders/>
            <w:vAlign w:val="center"/>
          </w:tcPr>
          <w:p>
            <w:pPr>
              <w:pStyle w:val="TableContents"/>
              <w:bidi w:val="0"/>
              <w:spacing w:before="0" w:after="283"/>
              <w:jc w:val="left"/>
              <w:rPr>
                <w:sz w:val="4"/>
                <w:szCs w:val="4"/>
              </w:rPr>
            </w:pPr>
            <w:r>
              <w:rPr>
                <w:sz w:val="4"/>
                <w:szCs w:val="4"/>
              </w:rPr>
            </w:r>
          </w:p>
        </w:tc>
      </w:tr>
      <w:tr>
        <w:trPr/>
        <w:tc>
          <w:tcPr>
            <w:tcW w:w="16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2.03</w:t>
            </w:r>
          </w:p>
        </w:tc>
        <w:tc>
          <w:tcPr>
            <w:tcW w:w="124" w:type="dxa"/>
            <w:tcBorders/>
            <w:vAlign w:val="bottom"/>
          </w:tcPr>
          <w:p>
            <w:pPr>
              <w:pStyle w:val="TableContents"/>
              <w:bidi w:val="0"/>
              <w:spacing w:before="0" w:after="283"/>
              <w:jc w:val="left"/>
              <w:rPr/>
            </w:pPr>
            <w:r>
              <w:rPr/>
              <w:t> </w:t>
            </w:r>
          </w:p>
        </w:tc>
        <w:tc>
          <w:tcPr>
            <w:tcW w:w="78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Registrar and Paying Agent</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6</w:t>
            </w:r>
          </w:p>
        </w:tc>
        <w:tc>
          <w:tcPr>
            <w:tcW w:w="64" w:type="dxa"/>
            <w:tcBorders/>
            <w:vAlign w:val="bottom"/>
          </w:tcPr>
          <w:p>
            <w:pPr>
              <w:pStyle w:val="TableContents"/>
              <w:bidi w:val="0"/>
              <w:spacing w:before="0" w:after="283"/>
              <w:jc w:val="left"/>
              <w:rPr/>
            </w:pPr>
            <w:r>
              <w:rPr/>
              <w:t> </w:t>
            </w:r>
          </w:p>
        </w:tc>
      </w:tr>
      <w:tr>
        <w:trPr>
          <w:trHeight w:val="120" w:hRule="atLeast"/>
        </w:trPr>
        <w:tc>
          <w:tcPr>
            <w:tcW w:w="1643" w:type="dxa"/>
            <w:tcBorders/>
            <w:vAlign w:val="center"/>
          </w:tcPr>
          <w:p>
            <w:pPr>
              <w:pStyle w:val="TableContents"/>
              <w:bidi w:val="0"/>
              <w:spacing w:before="0" w:after="283"/>
              <w:jc w:val="left"/>
              <w:rPr>
                <w:sz w:val="4"/>
                <w:szCs w:val="4"/>
              </w:rPr>
            </w:pPr>
            <w:r>
              <w:rPr>
                <w:sz w:val="4"/>
                <w:szCs w:val="4"/>
              </w:rPr>
            </w:r>
          </w:p>
        </w:tc>
        <w:tc>
          <w:tcPr>
            <w:tcW w:w="8004" w:type="dxa"/>
            <w:gridSpan w:val="2"/>
            <w:tcBorders/>
            <w:vAlign w:val="center"/>
          </w:tcPr>
          <w:p>
            <w:pPr>
              <w:pStyle w:val="TableContents"/>
              <w:bidi w:val="0"/>
              <w:spacing w:before="0" w:after="283"/>
              <w:jc w:val="left"/>
              <w:rPr>
                <w:sz w:val="4"/>
                <w:szCs w:val="4"/>
              </w:rPr>
            </w:pPr>
            <w:r>
              <w:rPr>
                <w:sz w:val="4"/>
                <w:szCs w:val="4"/>
              </w:rPr>
            </w:r>
          </w:p>
        </w:tc>
        <w:tc>
          <w:tcPr>
            <w:tcW w:w="558" w:type="dxa"/>
            <w:gridSpan w:val="4"/>
            <w:tcBorders/>
            <w:vAlign w:val="center"/>
          </w:tcPr>
          <w:p>
            <w:pPr>
              <w:pStyle w:val="TableContents"/>
              <w:bidi w:val="0"/>
              <w:spacing w:before="0" w:after="283"/>
              <w:jc w:val="left"/>
              <w:rPr>
                <w:sz w:val="4"/>
                <w:szCs w:val="4"/>
              </w:rPr>
            </w:pPr>
            <w:r>
              <w:rPr>
                <w:sz w:val="4"/>
                <w:szCs w:val="4"/>
              </w:rPr>
            </w:r>
          </w:p>
        </w:tc>
      </w:tr>
      <w:tr>
        <w:trPr/>
        <w:tc>
          <w:tcPr>
            <w:tcW w:w="16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2.04</w:t>
            </w:r>
          </w:p>
        </w:tc>
        <w:tc>
          <w:tcPr>
            <w:tcW w:w="124" w:type="dxa"/>
            <w:tcBorders/>
            <w:vAlign w:val="bottom"/>
          </w:tcPr>
          <w:p>
            <w:pPr>
              <w:pStyle w:val="TableContents"/>
              <w:bidi w:val="0"/>
              <w:spacing w:before="0" w:after="283"/>
              <w:jc w:val="left"/>
              <w:rPr/>
            </w:pPr>
            <w:r>
              <w:rPr/>
              <w:t> </w:t>
            </w:r>
          </w:p>
        </w:tc>
        <w:tc>
          <w:tcPr>
            <w:tcW w:w="78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Paying Agent to Hold Money in Trust</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7</w:t>
            </w:r>
          </w:p>
        </w:tc>
        <w:tc>
          <w:tcPr>
            <w:tcW w:w="64" w:type="dxa"/>
            <w:tcBorders/>
            <w:vAlign w:val="bottom"/>
          </w:tcPr>
          <w:p>
            <w:pPr>
              <w:pStyle w:val="TableContents"/>
              <w:bidi w:val="0"/>
              <w:spacing w:before="0" w:after="283"/>
              <w:jc w:val="left"/>
              <w:rPr/>
            </w:pPr>
            <w:r>
              <w:rPr/>
              <w:t> </w:t>
            </w:r>
          </w:p>
        </w:tc>
      </w:tr>
      <w:tr>
        <w:trPr>
          <w:trHeight w:val="120" w:hRule="atLeast"/>
        </w:trPr>
        <w:tc>
          <w:tcPr>
            <w:tcW w:w="1643" w:type="dxa"/>
            <w:tcBorders/>
            <w:vAlign w:val="center"/>
          </w:tcPr>
          <w:p>
            <w:pPr>
              <w:pStyle w:val="TableContents"/>
              <w:bidi w:val="0"/>
              <w:spacing w:before="0" w:after="283"/>
              <w:jc w:val="left"/>
              <w:rPr>
                <w:sz w:val="4"/>
                <w:szCs w:val="4"/>
              </w:rPr>
            </w:pPr>
            <w:r>
              <w:rPr>
                <w:sz w:val="4"/>
                <w:szCs w:val="4"/>
              </w:rPr>
            </w:r>
          </w:p>
        </w:tc>
        <w:tc>
          <w:tcPr>
            <w:tcW w:w="8004" w:type="dxa"/>
            <w:gridSpan w:val="2"/>
            <w:tcBorders/>
            <w:vAlign w:val="center"/>
          </w:tcPr>
          <w:p>
            <w:pPr>
              <w:pStyle w:val="TableContents"/>
              <w:bidi w:val="0"/>
              <w:spacing w:before="0" w:after="283"/>
              <w:jc w:val="left"/>
              <w:rPr>
                <w:sz w:val="4"/>
                <w:szCs w:val="4"/>
              </w:rPr>
            </w:pPr>
            <w:r>
              <w:rPr>
                <w:sz w:val="4"/>
                <w:szCs w:val="4"/>
              </w:rPr>
            </w:r>
          </w:p>
        </w:tc>
        <w:tc>
          <w:tcPr>
            <w:tcW w:w="558" w:type="dxa"/>
            <w:gridSpan w:val="4"/>
            <w:tcBorders/>
            <w:vAlign w:val="center"/>
          </w:tcPr>
          <w:p>
            <w:pPr>
              <w:pStyle w:val="TableContents"/>
              <w:bidi w:val="0"/>
              <w:spacing w:before="0" w:after="283"/>
              <w:jc w:val="left"/>
              <w:rPr>
                <w:sz w:val="4"/>
                <w:szCs w:val="4"/>
              </w:rPr>
            </w:pPr>
            <w:r>
              <w:rPr>
                <w:sz w:val="4"/>
                <w:szCs w:val="4"/>
              </w:rPr>
            </w:r>
          </w:p>
        </w:tc>
      </w:tr>
      <w:tr>
        <w:trPr/>
        <w:tc>
          <w:tcPr>
            <w:tcW w:w="16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2.05</w:t>
            </w:r>
          </w:p>
        </w:tc>
        <w:tc>
          <w:tcPr>
            <w:tcW w:w="124" w:type="dxa"/>
            <w:tcBorders/>
            <w:vAlign w:val="bottom"/>
          </w:tcPr>
          <w:p>
            <w:pPr>
              <w:pStyle w:val="TableContents"/>
              <w:bidi w:val="0"/>
              <w:spacing w:before="0" w:after="283"/>
              <w:jc w:val="left"/>
              <w:rPr/>
            </w:pPr>
            <w:r>
              <w:rPr/>
              <w:t> </w:t>
            </w:r>
          </w:p>
        </w:tc>
        <w:tc>
          <w:tcPr>
            <w:tcW w:w="78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Securityholder Lists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7</w:t>
            </w:r>
          </w:p>
        </w:tc>
        <w:tc>
          <w:tcPr>
            <w:tcW w:w="64" w:type="dxa"/>
            <w:tcBorders/>
            <w:vAlign w:val="bottom"/>
          </w:tcPr>
          <w:p>
            <w:pPr>
              <w:pStyle w:val="TableContents"/>
              <w:bidi w:val="0"/>
              <w:spacing w:before="0" w:after="283"/>
              <w:jc w:val="left"/>
              <w:rPr/>
            </w:pPr>
            <w:r>
              <w:rPr/>
              <w:t> </w:t>
            </w:r>
          </w:p>
        </w:tc>
      </w:tr>
      <w:tr>
        <w:trPr>
          <w:trHeight w:val="120" w:hRule="atLeast"/>
        </w:trPr>
        <w:tc>
          <w:tcPr>
            <w:tcW w:w="1643" w:type="dxa"/>
            <w:tcBorders/>
            <w:vAlign w:val="center"/>
          </w:tcPr>
          <w:p>
            <w:pPr>
              <w:pStyle w:val="TableContents"/>
              <w:bidi w:val="0"/>
              <w:spacing w:before="0" w:after="283"/>
              <w:jc w:val="left"/>
              <w:rPr>
                <w:sz w:val="4"/>
                <w:szCs w:val="4"/>
              </w:rPr>
            </w:pPr>
            <w:r>
              <w:rPr>
                <w:sz w:val="4"/>
                <w:szCs w:val="4"/>
              </w:rPr>
            </w:r>
          </w:p>
        </w:tc>
        <w:tc>
          <w:tcPr>
            <w:tcW w:w="8004" w:type="dxa"/>
            <w:gridSpan w:val="2"/>
            <w:tcBorders/>
            <w:vAlign w:val="center"/>
          </w:tcPr>
          <w:p>
            <w:pPr>
              <w:pStyle w:val="TableContents"/>
              <w:bidi w:val="0"/>
              <w:spacing w:before="0" w:after="283"/>
              <w:jc w:val="left"/>
              <w:rPr>
                <w:sz w:val="4"/>
                <w:szCs w:val="4"/>
              </w:rPr>
            </w:pPr>
            <w:r>
              <w:rPr>
                <w:sz w:val="4"/>
                <w:szCs w:val="4"/>
              </w:rPr>
            </w:r>
          </w:p>
        </w:tc>
        <w:tc>
          <w:tcPr>
            <w:tcW w:w="558" w:type="dxa"/>
            <w:gridSpan w:val="4"/>
            <w:tcBorders/>
            <w:vAlign w:val="center"/>
          </w:tcPr>
          <w:p>
            <w:pPr>
              <w:pStyle w:val="TableContents"/>
              <w:bidi w:val="0"/>
              <w:spacing w:before="0" w:after="283"/>
              <w:jc w:val="left"/>
              <w:rPr>
                <w:sz w:val="4"/>
                <w:szCs w:val="4"/>
              </w:rPr>
            </w:pPr>
            <w:r>
              <w:rPr>
                <w:sz w:val="4"/>
                <w:szCs w:val="4"/>
              </w:rPr>
            </w:r>
          </w:p>
        </w:tc>
      </w:tr>
      <w:tr>
        <w:trPr/>
        <w:tc>
          <w:tcPr>
            <w:tcW w:w="16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2.06</w:t>
            </w:r>
          </w:p>
        </w:tc>
        <w:tc>
          <w:tcPr>
            <w:tcW w:w="124" w:type="dxa"/>
            <w:tcBorders/>
            <w:vAlign w:val="bottom"/>
          </w:tcPr>
          <w:p>
            <w:pPr>
              <w:pStyle w:val="TableContents"/>
              <w:bidi w:val="0"/>
              <w:spacing w:before="0" w:after="283"/>
              <w:jc w:val="left"/>
              <w:rPr/>
            </w:pPr>
            <w:r>
              <w:rPr/>
              <w:t> </w:t>
            </w:r>
          </w:p>
        </w:tc>
        <w:tc>
          <w:tcPr>
            <w:tcW w:w="78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Transfer and Exchange</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7</w:t>
            </w:r>
          </w:p>
        </w:tc>
        <w:tc>
          <w:tcPr>
            <w:tcW w:w="64" w:type="dxa"/>
            <w:tcBorders/>
            <w:vAlign w:val="bottom"/>
          </w:tcPr>
          <w:p>
            <w:pPr>
              <w:pStyle w:val="TableContents"/>
              <w:bidi w:val="0"/>
              <w:spacing w:before="0" w:after="283"/>
              <w:jc w:val="left"/>
              <w:rPr/>
            </w:pPr>
            <w:r>
              <w:rPr/>
              <w:t> </w:t>
            </w:r>
          </w:p>
        </w:tc>
      </w:tr>
      <w:tr>
        <w:trPr>
          <w:trHeight w:val="120" w:hRule="atLeast"/>
        </w:trPr>
        <w:tc>
          <w:tcPr>
            <w:tcW w:w="1643" w:type="dxa"/>
            <w:tcBorders/>
            <w:vAlign w:val="center"/>
          </w:tcPr>
          <w:p>
            <w:pPr>
              <w:pStyle w:val="TableContents"/>
              <w:bidi w:val="0"/>
              <w:spacing w:before="0" w:after="283"/>
              <w:jc w:val="left"/>
              <w:rPr>
                <w:sz w:val="4"/>
                <w:szCs w:val="4"/>
              </w:rPr>
            </w:pPr>
            <w:r>
              <w:rPr>
                <w:sz w:val="4"/>
                <w:szCs w:val="4"/>
              </w:rPr>
            </w:r>
          </w:p>
        </w:tc>
        <w:tc>
          <w:tcPr>
            <w:tcW w:w="8004" w:type="dxa"/>
            <w:gridSpan w:val="2"/>
            <w:tcBorders/>
            <w:vAlign w:val="center"/>
          </w:tcPr>
          <w:p>
            <w:pPr>
              <w:pStyle w:val="TableContents"/>
              <w:bidi w:val="0"/>
              <w:spacing w:before="0" w:after="283"/>
              <w:jc w:val="left"/>
              <w:rPr>
                <w:sz w:val="4"/>
                <w:szCs w:val="4"/>
              </w:rPr>
            </w:pPr>
            <w:r>
              <w:rPr>
                <w:sz w:val="4"/>
                <w:szCs w:val="4"/>
              </w:rPr>
            </w:r>
          </w:p>
        </w:tc>
        <w:tc>
          <w:tcPr>
            <w:tcW w:w="558" w:type="dxa"/>
            <w:gridSpan w:val="4"/>
            <w:tcBorders/>
            <w:vAlign w:val="center"/>
          </w:tcPr>
          <w:p>
            <w:pPr>
              <w:pStyle w:val="TableContents"/>
              <w:bidi w:val="0"/>
              <w:spacing w:before="0" w:after="283"/>
              <w:jc w:val="left"/>
              <w:rPr>
                <w:sz w:val="4"/>
                <w:szCs w:val="4"/>
              </w:rPr>
            </w:pPr>
            <w:r>
              <w:rPr>
                <w:sz w:val="4"/>
                <w:szCs w:val="4"/>
              </w:rPr>
            </w:r>
          </w:p>
        </w:tc>
      </w:tr>
      <w:tr>
        <w:trPr/>
        <w:tc>
          <w:tcPr>
            <w:tcW w:w="16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2.07</w:t>
            </w:r>
          </w:p>
        </w:tc>
        <w:tc>
          <w:tcPr>
            <w:tcW w:w="124" w:type="dxa"/>
            <w:tcBorders/>
            <w:vAlign w:val="bottom"/>
          </w:tcPr>
          <w:p>
            <w:pPr>
              <w:pStyle w:val="TableContents"/>
              <w:bidi w:val="0"/>
              <w:spacing w:before="0" w:after="283"/>
              <w:jc w:val="left"/>
              <w:rPr/>
            </w:pPr>
            <w:r>
              <w:rPr/>
              <w:t> </w:t>
            </w:r>
          </w:p>
        </w:tc>
        <w:tc>
          <w:tcPr>
            <w:tcW w:w="78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Replacement Securities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7</w:t>
            </w:r>
          </w:p>
        </w:tc>
        <w:tc>
          <w:tcPr>
            <w:tcW w:w="64" w:type="dxa"/>
            <w:tcBorders/>
            <w:vAlign w:val="bottom"/>
          </w:tcPr>
          <w:p>
            <w:pPr>
              <w:pStyle w:val="TableContents"/>
              <w:bidi w:val="0"/>
              <w:spacing w:before="0" w:after="283"/>
              <w:jc w:val="left"/>
              <w:rPr/>
            </w:pPr>
            <w:r>
              <w:rPr/>
              <w:t> </w:t>
            </w:r>
          </w:p>
        </w:tc>
      </w:tr>
      <w:tr>
        <w:trPr>
          <w:trHeight w:val="120" w:hRule="atLeast"/>
        </w:trPr>
        <w:tc>
          <w:tcPr>
            <w:tcW w:w="1643" w:type="dxa"/>
            <w:tcBorders/>
            <w:vAlign w:val="center"/>
          </w:tcPr>
          <w:p>
            <w:pPr>
              <w:pStyle w:val="TableContents"/>
              <w:bidi w:val="0"/>
              <w:spacing w:before="0" w:after="283"/>
              <w:jc w:val="left"/>
              <w:rPr>
                <w:sz w:val="4"/>
                <w:szCs w:val="4"/>
              </w:rPr>
            </w:pPr>
            <w:r>
              <w:rPr>
                <w:sz w:val="4"/>
                <w:szCs w:val="4"/>
              </w:rPr>
            </w:r>
          </w:p>
        </w:tc>
        <w:tc>
          <w:tcPr>
            <w:tcW w:w="8004" w:type="dxa"/>
            <w:gridSpan w:val="2"/>
            <w:tcBorders/>
            <w:vAlign w:val="center"/>
          </w:tcPr>
          <w:p>
            <w:pPr>
              <w:pStyle w:val="TableContents"/>
              <w:bidi w:val="0"/>
              <w:spacing w:before="0" w:after="283"/>
              <w:jc w:val="left"/>
              <w:rPr>
                <w:sz w:val="4"/>
                <w:szCs w:val="4"/>
              </w:rPr>
            </w:pPr>
            <w:r>
              <w:rPr>
                <w:sz w:val="4"/>
                <w:szCs w:val="4"/>
              </w:rPr>
            </w:r>
          </w:p>
        </w:tc>
        <w:tc>
          <w:tcPr>
            <w:tcW w:w="558" w:type="dxa"/>
            <w:gridSpan w:val="4"/>
            <w:tcBorders/>
            <w:vAlign w:val="center"/>
          </w:tcPr>
          <w:p>
            <w:pPr>
              <w:pStyle w:val="TableContents"/>
              <w:bidi w:val="0"/>
              <w:spacing w:before="0" w:after="283"/>
              <w:jc w:val="left"/>
              <w:rPr>
                <w:sz w:val="4"/>
                <w:szCs w:val="4"/>
              </w:rPr>
            </w:pPr>
            <w:r>
              <w:rPr>
                <w:sz w:val="4"/>
                <w:szCs w:val="4"/>
              </w:rPr>
            </w:r>
          </w:p>
        </w:tc>
      </w:tr>
      <w:tr>
        <w:trPr/>
        <w:tc>
          <w:tcPr>
            <w:tcW w:w="16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2.08</w:t>
            </w:r>
          </w:p>
        </w:tc>
        <w:tc>
          <w:tcPr>
            <w:tcW w:w="124" w:type="dxa"/>
            <w:tcBorders/>
            <w:vAlign w:val="bottom"/>
          </w:tcPr>
          <w:p>
            <w:pPr>
              <w:pStyle w:val="TableContents"/>
              <w:bidi w:val="0"/>
              <w:spacing w:before="0" w:after="283"/>
              <w:jc w:val="left"/>
              <w:rPr/>
            </w:pPr>
            <w:r>
              <w:rPr/>
              <w:t> </w:t>
            </w:r>
          </w:p>
        </w:tc>
        <w:tc>
          <w:tcPr>
            <w:tcW w:w="78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Outstanding Securities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8</w:t>
            </w:r>
          </w:p>
        </w:tc>
        <w:tc>
          <w:tcPr>
            <w:tcW w:w="64" w:type="dxa"/>
            <w:tcBorders/>
            <w:vAlign w:val="bottom"/>
          </w:tcPr>
          <w:p>
            <w:pPr>
              <w:pStyle w:val="TableContents"/>
              <w:bidi w:val="0"/>
              <w:spacing w:before="0" w:after="283"/>
              <w:jc w:val="left"/>
              <w:rPr/>
            </w:pPr>
            <w:r>
              <w:rPr/>
              <w:t> </w:t>
            </w:r>
          </w:p>
        </w:tc>
      </w:tr>
      <w:tr>
        <w:trPr>
          <w:trHeight w:val="120" w:hRule="atLeast"/>
        </w:trPr>
        <w:tc>
          <w:tcPr>
            <w:tcW w:w="1643" w:type="dxa"/>
            <w:tcBorders/>
            <w:vAlign w:val="center"/>
          </w:tcPr>
          <w:p>
            <w:pPr>
              <w:pStyle w:val="TableContents"/>
              <w:bidi w:val="0"/>
              <w:spacing w:before="0" w:after="283"/>
              <w:jc w:val="left"/>
              <w:rPr>
                <w:sz w:val="4"/>
                <w:szCs w:val="4"/>
              </w:rPr>
            </w:pPr>
            <w:r>
              <w:rPr>
                <w:sz w:val="4"/>
                <w:szCs w:val="4"/>
              </w:rPr>
            </w:r>
          </w:p>
        </w:tc>
        <w:tc>
          <w:tcPr>
            <w:tcW w:w="8004" w:type="dxa"/>
            <w:gridSpan w:val="2"/>
            <w:tcBorders/>
            <w:vAlign w:val="center"/>
          </w:tcPr>
          <w:p>
            <w:pPr>
              <w:pStyle w:val="TableContents"/>
              <w:bidi w:val="0"/>
              <w:spacing w:before="0" w:after="283"/>
              <w:jc w:val="left"/>
              <w:rPr>
                <w:sz w:val="4"/>
                <w:szCs w:val="4"/>
              </w:rPr>
            </w:pPr>
            <w:r>
              <w:rPr>
                <w:sz w:val="4"/>
                <w:szCs w:val="4"/>
              </w:rPr>
            </w:r>
          </w:p>
        </w:tc>
        <w:tc>
          <w:tcPr>
            <w:tcW w:w="558" w:type="dxa"/>
            <w:gridSpan w:val="4"/>
            <w:tcBorders/>
            <w:vAlign w:val="center"/>
          </w:tcPr>
          <w:p>
            <w:pPr>
              <w:pStyle w:val="TableContents"/>
              <w:bidi w:val="0"/>
              <w:spacing w:before="0" w:after="283"/>
              <w:jc w:val="left"/>
              <w:rPr>
                <w:sz w:val="4"/>
                <w:szCs w:val="4"/>
              </w:rPr>
            </w:pPr>
            <w:r>
              <w:rPr>
                <w:sz w:val="4"/>
                <w:szCs w:val="4"/>
              </w:rPr>
            </w:r>
          </w:p>
        </w:tc>
      </w:tr>
      <w:tr>
        <w:trPr/>
        <w:tc>
          <w:tcPr>
            <w:tcW w:w="16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2.09</w:t>
            </w:r>
          </w:p>
        </w:tc>
        <w:tc>
          <w:tcPr>
            <w:tcW w:w="124" w:type="dxa"/>
            <w:tcBorders/>
            <w:vAlign w:val="bottom"/>
          </w:tcPr>
          <w:p>
            <w:pPr>
              <w:pStyle w:val="TableContents"/>
              <w:bidi w:val="0"/>
              <w:spacing w:before="0" w:after="283"/>
              <w:jc w:val="left"/>
              <w:rPr/>
            </w:pPr>
            <w:r>
              <w:rPr/>
              <w:t> </w:t>
            </w:r>
          </w:p>
        </w:tc>
        <w:tc>
          <w:tcPr>
            <w:tcW w:w="78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Temporary Securities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8</w:t>
            </w:r>
          </w:p>
        </w:tc>
        <w:tc>
          <w:tcPr>
            <w:tcW w:w="64" w:type="dxa"/>
            <w:tcBorders/>
            <w:vAlign w:val="bottom"/>
          </w:tcPr>
          <w:p>
            <w:pPr>
              <w:pStyle w:val="TableContents"/>
              <w:bidi w:val="0"/>
              <w:spacing w:before="0" w:after="283"/>
              <w:jc w:val="left"/>
              <w:rPr/>
            </w:pPr>
            <w:r>
              <w:rPr/>
              <w:t> </w:t>
            </w:r>
          </w:p>
        </w:tc>
      </w:tr>
      <w:tr>
        <w:trPr>
          <w:trHeight w:val="120" w:hRule="atLeast"/>
        </w:trPr>
        <w:tc>
          <w:tcPr>
            <w:tcW w:w="1643" w:type="dxa"/>
            <w:tcBorders/>
            <w:vAlign w:val="center"/>
          </w:tcPr>
          <w:p>
            <w:pPr>
              <w:pStyle w:val="TableContents"/>
              <w:bidi w:val="0"/>
              <w:spacing w:before="0" w:after="283"/>
              <w:jc w:val="left"/>
              <w:rPr>
                <w:sz w:val="4"/>
                <w:szCs w:val="4"/>
              </w:rPr>
            </w:pPr>
            <w:r>
              <w:rPr>
                <w:sz w:val="4"/>
                <w:szCs w:val="4"/>
              </w:rPr>
            </w:r>
          </w:p>
        </w:tc>
        <w:tc>
          <w:tcPr>
            <w:tcW w:w="8004" w:type="dxa"/>
            <w:gridSpan w:val="2"/>
            <w:tcBorders/>
            <w:vAlign w:val="center"/>
          </w:tcPr>
          <w:p>
            <w:pPr>
              <w:pStyle w:val="TableContents"/>
              <w:bidi w:val="0"/>
              <w:spacing w:before="0" w:after="283"/>
              <w:jc w:val="left"/>
              <w:rPr>
                <w:sz w:val="4"/>
                <w:szCs w:val="4"/>
              </w:rPr>
            </w:pPr>
            <w:r>
              <w:rPr>
                <w:sz w:val="4"/>
                <w:szCs w:val="4"/>
              </w:rPr>
            </w:r>
          </w:p>
        </w:tc>
        <w:tc>
          <w:tcPr>
            <w:tcW w:w="558" w:type="dxa"/>
            <w:gridSpan w:val="4"/>
            <w:tcBorders/>
            <w:vAlign w:val="center"/>
          </w:tcPr>
          <w:p>
            <w:pPr>
              <w:pStyle w:val="TableContents"/>
              <w:bidi w:val="0"/>
              <w:spacing w:before="0" w:after="283"/>
              <w:jc w:val="left"/>
              <w:rPr>
                <w:sz w:val="4"/>
                <w:szCs w:val="4"/>
              </w:rPr>
            </w:pPr>
            <w:r>
              <w:rPr>
                <w:sz w:val="4"/>
                <w:szCs w:val="4"/>
              </w:rPr>
            </w:r>
          </w:p>
        </w:tc>
      </w:tr>
      <w:tr>
        <w:trPr/>
        <w:tc>
          <w:tcPr>
            <w:tcW w:w="16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2.10</w:t>
            </w:r>
          </w:p>
        </w:tc>
        <w:tc>
          <w:tcPr>
            <w:tcW w:w="124" w:type="dxa"/>
            <w:tcBorders/>
            <w:vAlign w:val="bottom"/>
          </w:tcPr>
          <w:p>
            <w:pPr>
              <w:pStyle w:val="TableContents"/>
              <w:bidi w:val="0"/>
              <w:spacing w:before="0" w:after="283"/>
              <w:jc w:val="left"/>
              <w:rPr/>
            </w:pPr>
            <w:r>
              <w:rPr/>
              <w:t> </w:t>
            </w:r>
          </w:p>
        </w:tc>
        <w:tc>
          <w:tcPr>
            <w:tcW w:w="78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Cancellation</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8</w:t>
            </w:r>
          </w:p>
        </w:tc>
        <w:tc>
          <w:tcPr>
            <w:tcW w:w="64" w:type="dxa"/>
            <w:tcBorders/>
            <w:vAlign w:val="bottom"/>
          </w:tcPr>
          <w:p>
            <w:pPr>
              <w:pStyle w:val="TableContents"/>
              <w:bidi w:val="0"/>
              <w:spacing w:before="0" w:after="283"/>
              <w:jc w:val="left"/>
              <w:rPr/>
            </w:pPr>
            <w:r>
              <w:rPr/>
              <w:t> </w:t>
            </w:r>
          </w:p>
        </w:tc>
      </w:tr>
      <w:tr>
        <w:trPr>
          <w:trHeight w:val="120" w:hRule="atLeast"/>
        </w:trPr>
        <w:tc>
          <w:tcPr>
            <w:tcW w:w="1643" w:type="dxa"/>
            <w:tcBorders/>
            <w:vAlign w:val="center"/>
          </w:tcPr>
          <w:p>
            <w:pPr>
              <w:pStyle w:val="TableContents"/>
              <w:bidi w:val="0"/>
              <w:spacing w:before="0" w:after="283"/>
              <w:jc w:val="left"/>
              <w:rPr>
                <w:sz w:val="4"/>
                <w:szCs w:val="4"/>
              </w:rPr>
            </w:pPr>
            <w:r>
              <w:rPr>
                <w:sz w:val="4"/>
                <w:szCs w:val="4"/>
              </w:rPr>
            </w:r>
          </w:p>
        </w:tc>
        <w:tc>
          <w:tcPr>
            <w:tcW w:w="8004" w:type="dxa"/>
            <w:gridSpan w:val="2"/>
            <w:tcBorders/>
            <w:vAlign w:val="center"/>
          </w:tcPr>
          <w:p>
            <w:pPr>
              <w:pStyle w:val="TableContents"/>
              <w:bidi w:val="0"/>
              <w:spacing w:before="0" w:after="283"/>
              <w:jc w:val="left"/>
              <w:rPr>
                <w:sz w:val="4"/>
                <w:szCs w:val="4"/>
              </w:rPr>
            </w:pPr>
            <w:r>
              <w:rPr>
                <w:sz w:val="4"/>
                <w:szCs w:val="4"/>
              </w:rPr>
            </w:r>
          </w:p>
        </w:tc>
        <w:tc>
          <w:tcPr>
            <w:tcW w:w="558" w:type="dxa"/>
            <w:gridSpan w:val="4"/>
            <w:tcBorders/>
            <w:vAlign w:val="center"/>
          </w:tcPr>
          <w:p>
            <w:pPr>
              <w:pStyle w:val="TableContents"/>
              <w:bidi w:val="0"/>
              <w:spacing w:before="0" w:after="283"/>
              <w:jc w:val="left"/>
              <w:rPr>
                <w:sz w:val="4"/>
                <w:szCs w:val="4"/>
              </w:rPr>
            </w:pPr>
            <w:r>
              <w:rPr>
                <w:sz w:val="4"/>
                <w:szCs w:val="4"/>
              </w:rPr>
            </w:r>
          </w:p>
        </w:tc>
      </w:tr>
      <w:tr>
        <w:trPr/>
        <w:tc>
          <w:tcPr>
            <w:tcW w:w="16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2.11</w:t>
            </w:r>
          </w:p>
        </w:tc>
        <w:tc>
          <w:tcPr>
            <w:tcW w:w="124" w:type="dxa"/>
            <w:tcBorders/>
            <w:vAlign w:val="bottom"/>
          </w:tcPr>
          <w:p>
            <w:pPr>
              <w:pStyle w:val="TableContents"/>
              <w:bidi w:val="0"/>
              <w:spacing w:before="0" w:after="283"/>
              <w:jc w:val="left"/>
              <w:rPr/>
            </w:pPr>
            <w:r>
              <w:rPr/>
              <w:t> </w:t>
            </w:r>
          </w:p>
        </w:tc>
        <w:tc>
          <w:tcPr>
            <w:tcW w:w="78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Defaulted Interest</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8</w:t>
            </w:r>
          </w:p>
        </w:tc>
        <w:tc>
          <w:tcPr>
            <w:tcW w:w="64" w:type="dxa"/>
            <w:tcBorders/>
            <w:vAlign w:val="bottom"/>
          </w:tcPr>
          <w:p>
            <w:pPr>
              <w:pStyle w:val="TableContents"/>
              <w:bidi w:val="0"/>
              <w:spacing w:before="0" w:after="283"/>
              <w:jc w:val="left"/>
              <w:rPr/>
            </w:pPr>
            <w:r>
              <w:rPr/>
              <w:t> </w:t>
            </w:r>
          </w:p>
        </w:tc>
      </w:tr>
      <w:tr>
        <w:trPr>
          <w:trHeight w:val="120" w:hRule="atLeast"/>
        </w:trPr>
        <w:tc>
          <w:tcPr>
            <w:tcW w:w="1643" w:type="dxa"/>
            <w:tcBorders/>
            <w:vAlign w:val="center"/>
          </w:tcPr>
          <w:p>
            <w:pPr>
              <w:pStyle w:val="TableContents"/>
              <w:bidi w:val="0"/>
              <w:spacing w:before="0" w:after="283"/>
              <w:jc w:val="left"/>
              <w:rPr>
                <w:sz w:val="4"/>
                <w:szCs w:val="4"/>
              </w:rPr>
            </w:pPr>
            <w:r>
              <w:rPr>
                <w:sz w:val="4"/>
                <w:szCs w:val="4"/>
              </w:rPr>
            </w:r>
          </w:p>
        </w:tc>
        <w:tc>
          <w:tcPr>
            <w:tcW w:w="8004" w:type="dxa"/>
            <w:gridSpan w:val="2"/>
            <w:tcBorders/>
            <w:vAlign w:val="center"/>
          </w:tcPr>
          <w:p>
            <w:pPr>
              <w:pStyle w:val="TableContents"/>
              <w:bidi w:val="0"/>
              <w:spacing w:before="0" w:after="283"/>
              <w:jc w:val="left"/>
              <w:rPr>
                <w:sz w:val="4"/>
                <w:szCs w:val="4"/>
              </w:rPr>
            </w:pPr>
            <w:r>
              <w:rPr>
                <w:sz w:val="4"/>
                <w:szCs w:val="4"/>
              </w:rPr>
            </w:r>
          </w:p>
        </w:tc>
        <w:tc>
          <w:tcPr>
            <w:tcW w:w="558" w:type="dxa"/>
            <w:gridSpan w:val="4"/>
            <w:tcBorders/>
            <w:vAlign w:val="center"/>
          </w:tcPr>
          <w:p>
            <w:pPr>
              <w:pStyle w:val="TableContents"/>
              <w:bidi w:val="0"/>
              <w:spacing w:before="0" w:after="283"/>
              <w:jc w:val="left"/>
              <w:rPr>
                <w:sz w:val="4"/>
                <w:szCs w:val="4"/>
              </w:rPr>
            </w:pPr>
            <w:r>
              <w:rPr>
                <w:sz w:val="4"/>
                <w:szCs w:val="4"/>
              </w:rPr>
            </w:r>
          </w:p>
        </w:tc>
      </w:tr>
      <w:tr>
        <w:trPr/>
        <w:tc>
          <w:tcPr>
            <w:tcW w:w="16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2.12</w:t>
            </w:r>
          </w:p>
        </w:tc>
        <w:tc>
          <w:tcPr>
            <w:tcW w:w="124" w:type="dxa"/>
            <w:tcBorders/>
            <w:vAlign w:val="bottom"/>
          </w:tcPr>
          <w:p>
            <w:pPr>
              <w:pStyle w:val="TableContents"/>
              <w:bidi w:val="0"/>
              <w:spacing w:before="0" w:after="283"/>
              <w:jc w:val="left"/>
              <w:rPr/>
            </w:pPr>
            <w:r>
              <w:rPr/>
              <w:t> </w:t>
            </w:r>
          </w:p>
        </w:tc>
        <w:tc>
          <w:tcPr>
            <w:tcW w:w="78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Treasury Securities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rHeight w:val="120" w:hRule="atLeast"/>
        </w:trPr>
        <w:tc>
          <w:tcPr>
            <w:tcW w:w="1643" w:type="dxa"/>
            <w:tcBorders/>
            <w:vAlign w:val="center"/>
          </w:tcPr>
          <w:p>
            <w:pPr>
              <w:pStyle w:val="TableContents"/>
              <w:bidi w:val="0"/>
              <w:spacing w:before="0" w:after="283"/>
              <w:jc w:val="left"/>
              <w:rPr>
                <w:sz w:val="4"/>
                <w:szCs w:val="4"/>
              </w:rPr>
            </w:pPr>
            <w:r>
              <w:rPr>
                <w:sz w:val="4"/>
                <w:szCs w:val="4"/>
              </w:rPr>
            </w:r>
          </w:p>
        </w:tc>
        <w:tc>
          <w:tcPr>
            <w:tcW w:w="8004" w:type="dxa"/>
            <w:gridSpan w:val="2"/>
            <w:tcBorders/>
            <w:vAlign w:val="center"/>
          </w:tcPr>
          <w:p>
            <w:pPr>
              <w:pStyle w:val="TableContents"/>
              <w:bidi w:val="0"/>
              <w:spacing w:before="0" w:after="283"/>
              <w:jc w:val="left"/>
              <w:rPr>
                <w:sz w:val="4"/>
                <w:szCs w:val="4"/>
              </w:rPr>
            </w:pPr>
            <w:r>
              <w:rPr>
                <w:sz w:val="4"/>
                <w:szCs w:val="4"/>
              </w:rPr>
            </w:r>
          </w:p>
        </w:tc>
        <w:tc>
          <w:tcPr>
            <w:tcW w:w="558" w:type="dxa"/>
            <w:gridSpan w:val="4"/>
            <w:tcBorders/>
            <w:vAlign w:val="center"/>
          </w:tcPr>
          <w:p>
            <w:pPr>
              <w:pStyle w:val="TableContents"/>
              <w:bidi w:val="0"/>
              <w:spacing w:before="0" w:after="283"/>
              <w:jc w:val="left"/>
              <w:rPr>
                <w:sz w:val="4"/>
                <w:szCs w:val="4"/>
              </w:rPr>
            </w:pPr>
            <w:r>
              <w:rPr>
                <w:sz w:val="4"/>
                <w:szCs w:val="4"/>
              </w:rPr>
            </w:r>
          </w:p>
        </w:tc>
      </w:tr>
      <w:tr>
        <w:trPr/>
        <w:tc>
          <w:tcPr>
            <w:tcW w:w="16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2.13</w:t>
            </w:r>
          </w:p>
        </w:tc>
        <w:tc>
          <w:tcPr>
            <w:tcW w:w="124" w:type="dxa"/>
            <w:tcBorders/>
            <w:vAlign w:val="bottom"/>
          </w:tcPr>
          <w:p>
            <w:pPr>
              <w:pStyle w:val="TableContents"/>
              <w:bidi w:val="0"/>
              <w:spacing w:before="0" w:after="283"/>
              <w:jc w:val="left"/>
              <w:rPr/>
            </w:pPr>
            <w:r>
              <w:rPr/>
              <w:t> </w:t>
            </w:r>
          </w:p>
        </w:tc>
        <w:tc>
          <w:tcPr>
            <w:tcW w:w="78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CUSIP/ISIN Numbers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rHeight w:val="120" w:hRule="atLeast"/>
        </w:trPr>
        <w:tc>
          <w:tcPr>
            <w:tcW w:w="1643" w:type="dxa"/>
            <w:tcBorders/>
            <w:vAlign w:val="center"/>
          </w:tcPr>
          <w:p>
            <w:pPr>
              <w:pStyle w:val="TableContents"/>
              <w:bidi w:val="0"/>
              <w:spacing w:before="0" w:after="283"/>
              <w:jc w:val="left"/>
              <w:rPr>
                <w:sz w:val="4"/>
                <w:szCs w:val="4"/>
              </w:rPr>
            </w:pPr>
            <w:r>
              <w:rPr>
                <w:sz w:val="4"/>
                <w:szCs w:val="4"/>
              </w:rPr>
            </w:r>
          </w:p>
        </w:tc>
        <w:tc>
          <w:tcPr>
            <w:tcW w:w="8004" w:type="dxa"/>
            <w:gridSpan w:val="2"/>
            <w:tcBorders/>
            <w:vAlign w:val="center"/>
          </w:tcPr>
          <w:p>
            <w:pPr>
              <w:pStyle w:val="TableContents"/>
              <w:bidi w:val="0"/>
              <w:spacing w:before="0" w:after="283"/>
              <w:jc w:val="left"/>
              <w:rPr>
                <w:sz w:val="4"/>
                <w:szCs w:val="4"/>
              </w:rPr>
            </w:pPr>
            <w:r>
              <w:rPr>
                <w:sz w:val="4"/>
                <w:szCs w:val="4"/>
              </w:rPr>
            </w:r>
          </w:p>
        </w:tc>
        <w:tc>
          <w:tcPr>
            <w:tcW w:w="558" w:type="dxa"/>
            <w:gridSpan w:val="4"/>
            <w:tcBorders/>
            <w:vAlign w:val="center"/>
          </w:tcPr>
          <w:p>
            <w:pPr>
              <w:pStyle w:val="TableContents"/>
              <w:bidi w:val="0"/>
              <w:spacing w:before="0" w:after="283"/>
              <w:jc w:val="left"/>
              <w:rPr>
                <w:sz w:val="4"/>
                <w:szCs w:val="4"/>
              </w:rPr>
            </w:pPr>
            <w:r>
              <w:rPr>
                <w:sz w:val="4"/>
                <w:szCs w:val="4"/>
              </w:rPr>
            </w:r>
          </w:p>
        </w:tc>
      </w:tr>
      <w:tr>
        <w:trPr/>
        <w:tc>
          <w:tcPr>
            <w:tcW w:w="16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2.14</w:t>
            </w:r>
          </w:p>
        </w:tc>
        <w:tc>
          <w:tcPr>
            <w:tcW w:w="124" w:type="dxa"/>
            <w:tcBorders/>
            <w:vAlign w:val="bottom"/>
          </w:tcPr>
          <w:p>
            <w:pPr>
              <w:pStyle w:val="TableContents"/>
              <w:bidi w:val="0"/>
              <w:spacing w:before="0" w:after="283"/>
              <w:jc w:val="left"/>
              <w:rPr/>
            </w:pPr>
            <w:r>
              <w:rPr/>
              <w:t> </w:t>
            </w:r>
          </w:p>
        </w:tc>
        <w:tc>
          <w:tcPr>
            <w:tcW w:w="78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Deposit of Moneys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rHeight w:val="120" w:hRule="atLeast"/>
        </w:trPr>
        <w:tc>
          <w:tcPr>
            <w:tcW w:w="1643" w:type="dxa"/>
            <w:tcBorders/>
            <w:vAlign w:val="center"/>
          </w:tcPr>
          <w:p>
            <w:pPr>
              <w:pStyle w:val="TableContents"/>
              <w:bidi w:val="0"/>
              <w:spacing w:before="0" w:after="283"/>
              <w:jc w:val="left"/>
              <w:rPr>
                <w:sz w:val="4"/>
                <w:szCs w:val="4"/>
              </w:rPr>
            </w:pPr>
            <w:r>
              <w:rPr>
                <w:sz w:val="4"/>
                <w:szCs w:val="4"/>
              </w:rPr>
            </w:r>
          </w:p>
        </w:tc>
        <w:tc>
          <w:tcPr>
            <w:tcW w:w="8004" w:type="dxa"/>
            <w:gridSpan w:val="2"/>
            <w:tcBorders/>
            <w:vAlign w:val="center"/>
          </w:tcPr>
          <w:p>
            <w:pPr>
              <w:pStyle w:val="TableContents"/>
              <w:bidi w:val="0"/>
              <w:spacing w:before="0" w:after="283"/>
              <w:jc w:val="left"/>
              <w:rPr>
                <w:sz w:val="4"/>
                <w:szCs w:val="4"/>
              </w:rPr>
            </w:pPr>
            <w:r>
              <w:rPr>
                <w:sz w:val="4"/>
                <w:szCs w:val="4"/>
              </w:rPr>
            </w:r>
          </w:p>
        </w:tc>
        <w:tc>
          <w:tcPr>
            <w:tcW w:w="558" w:type="dxa"/>
            <w:gridSpan w:val="4"/>
            <w:tcBorders/>
            <w:vAlign w:val="center"/>
          </w:tcPr>
          <w:p>
            <w:pPr>
              <w:pStyle w:val="TableContents"/>
              <w:bidi w:val="0"/>
              <w:spacing w:before="0" w:after="283"/>
              <w:jc w:val="left"/>
              <w:rPr>
                <w:sz w:val="4"/>
                <w:szCs w:val="4"/>
              </w:rPr>
            </w:pPr>
            <w:r>
              <w:rPr>
                <w:sz w:val="4"/>
                <w:szCs w:val="4"/>
              </w:rPr>
            </w:r>
          </w:p>
        </w:tc>
      </w:tr>
      <w:tr>
        <w:trPr/>
        <w:tc>
          <w:tcPr>
            <w:tcW w:w="16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2.15</w:t>
            </w:r>
          </w:p>
        </w:tc>
        <w:tc>
          <w:tcPr>
            <w:tcW w:w="124" w:type="dxa"/>
            <w:tcBorders/>
            <w:vAlign w:val="bottom"/>
          </w:tcPr>
          <w:p>
            <w:pPr>
              <w:pStyle w:val="TableContents"/>
              <w:bidi w:val="0"/>
              <w:spacing w:before="0" w:after="283"/>
              <w:jc w:val="left"/>
              <w:rPr/>
            </w:pPr>
            <w:r>
              <w:rPr/>
              <w:t> </w:t>
            </w:r>
          </w:p>
        </w:tc>
        <w:tc>
          <w:tcPr>
            <w:tcW w:w="78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Book-Entry Provisions for Global Security</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rHeight w:val="120" w:hRule="atLeast"/>
        </w:trPr>
        <w:tc>
          <w:tcPr>
            <w:tcW w:w="1643" w:type="dxa"/>
            <w:tcBorders/>
            <w:vAlign w:val="center"/>
          </w:tcPr>
          <w:p>
            <w:pPr>
              <w:pStyle w:val="TableContents"/>
              <w:bidi w:val="0"/>
              <w:spacing w:before="0" w:after="283"/>
              <w:jc w:val="left"/>
              <w:rPr>
                <w:sz w:val="4"/>
                <w:szCs w:val="4"/>
              </w:rPr>
            </w:pPr>
            <w:r>
              <w:rPr>
                <w:sz w:val="4"/>
                <w:szCs w:val="4"/>
              </w:rPr>
            </w:r>
          </w:p>
        </w:tc>
        <w:tc>
          <w:tcPr>
            <w:tcW w:w="8004" w:type="dxa"/>
            <w:gridSpan w:val="2"/>
            <w:tcBorders/>
            <w:vAlign w:val="center"/>
          </w:tcPr>
          <w:p>
            <w:pPr>
              <w:pStyle w:val="TableContents"/>
              <w:bidi w:val="0"/>
              <w:spacing w:before="0" w:after="283"/>
              <w:jc w:val="left"/>
              <w:rPr>
                <w:sz w:val="4"/>
                <w:szCs w:val="4"/>
              </w:rPr>
            </w:pPr>
            <w:r>
              <w:rPr>
                <w:sz w:val="4"/>
                <w:szCs w:val="4"/>
              </w:rPr>
            </w:r>
          </w:p>
        </w:tc>
        <w:tc>
          <w:tcPr>
            <w:tcW w:w="558" w:type="dxa"/>
            <w:gridSpan w:val="4"/>
            <w:tcBorders/>
            <w:vAlign w:val="center"/>
          </w:tcPr>
          <w:p>
            <w:pPr>
              <w:pStyle w:val="TableContents"/>
              <w:bidi w:val="0"/>
              <w:spacing w:before="0" w:after="283"/>
              <w:jc w:val="left"/>
              <w:rPr>
                <w:sz w:val="4"/>
                <w:szCs w:val="4"/>
              </w:rPr>
            </w:pPr>
            <w:r>
              <w:rPr>
                <w:sz w:val="4"/>
                <w:szCs w:val="4"/>
              </w:rPr>
            </w:r>
          </w:p>
        </w:tc>
      </w:tr>
      <w:tr>
        <w:trPr/>
        <w:tc>
          <w:tcPr>
            <w:tcW w:w="16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2.16</w:t>
            </w:r>
          </w:p>
        </w:tc>
        <w:tc>
          <w:tcPr>
            <w:tcW w:w="124" w:type="dxa"/>
            <w:tcBorders/>
            <w:vAlign w:val="bottom"/>
          </w:tcPr>
          <w:p>
            <w:pPr>
              <w:pStyle w:val="TableContents"/>
              <w:bidi w:val="0"/>
              <w:spacing w:before="0" w:after="283"/>
              <w:jc w:val="left"/>
              <w:rPr/>
            </w:pPr>
            <w:r>
              <w:rPr/>
              <w:t> </w:t>
            </w:r>
          </w:p>
        </w:tc>
        <w:tc>
          <w:tcPr>
            <w:tcW w:w="78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No Duty to Monitor</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638"/>
        <w:gridCol w:w="125"/>
        <w:gridCol w:w="7891"/>
        <w:gridCol w:w="166"/>
        <w:gridCol w:w="60"/>
        <w:gridCol w:w="262"/>
        <w:gridCol w:w="63"/>
      </w:tblGrid>
      <w:tr>
        <w:trPr/>
        <w:tc>
          <w:tcPr>
            <w:tcW w:w="1638"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7891"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0"/>
              <w:jc w:val="center"/>
              <w:rPr>
                <w:rFonts w:ascii="Times New Roman" w:hAnsi="Times New Roman"/>
                <w:b/>
                <w:sz w:val="20"/>
              </w:rPr>
            </w:pPr>
            <w:r>
              <w:rPr>
                <w:rFonts w:ascii="Times New Roman" w:hAnsi="Times New Roman"/>
                <w:b/>
                <w:sz w:val="20"/>
              </w:rPr>
              <w:t>ARTICLE THREE</w:t>
            </w:r>
          </w:p>
          <w:p>
            <w:pPr>
              <w:pStyle w:val="TableContents"/>
              <w:bidi w:val="0"/>
              <w:spacing w:before="0" w:after="0"/>
              <w:jc w:val="left"/>
              <w:rPr/>
            </w:pPr>
            <w:r>
              <w:rPr/>
              <w:t> </w:t>
            </w:r>
          </w:p>
          <w:p>
            <w:pPr>
              <w:pStyle w:val="TableContents"/>
              <w:bidi w:val="0"/>
              <w:spacing w:before="0" w:after="20"/>
              <w:jc w:val="center"/>
              <w:rPr>
                <w:rFonts w:ascii="Times New Roman" w:hAnsi="Times New Roman"/>
                <w:b/>
                <w:sz w:val="20"/>
              </w:rPr>
            </w:pPr>
            <w:r>
              <w:rPr>
                <w:rFonts w:ascii="Times New Roman" w:hAnsi="Times New Roman"/>
                <w:b/>
                <w:sz w:val="20"/>
              </w:rPr>
              <w:t>REDEMPTION</w:t>
            </w:r>
          </w:p>
        </w:tc>
        <w:tc>
          <w:tcPr>
            <w:tcW w:w="63" w:type="dxa"/>
            <w:tcBorders/>
          </w:tcPr>
          <w:p>
            <w:pPr>
              <w:pStyle w:val="TableContents"/>
              <w:bidi w:val="0"/>
              <w:spacing w:before="0" w:after="0"/>
              <w:jc w:val="left"/>
              <w:rPr/>
            </w:pPr>
            <w:r>
              <w:rPr/>
              <w:t> </w:t>
            </w:r>
          </w:p>
          <w:p>
            <w:pPr>
              <w:pStyle w:val="TableContents"/>
              <w:bidi w:val="0"/>
              <w:spacing w:before="0" w:after="0"/>
              <w:jc w:val="left"/>
              <w:rPr/>
            </w:pPr>
            <w:r>
              <w:rPr/>
              <w:t> </w:t>
            </w:r>
          </w:p>
        </w:tc>
      </w:tr>
      <w:tr>
        <w:trPr>
          <w:trHeight w:val="120" w:hRule="atLeast"/>
        </w:trPr>
        <w:tc>
          <w:tcPr>
            <w:tcW w:w="1638" w:type="dxa"/>
            <w:tcBorders/>
            <w:vAlign w:val="center"/>
          </w:tcPr>
          <w:p>
            <w:pPr>
              <w:pStyle w:val="TableContents"/>
              <w:bidi w:val="0"/>
              <w:spacing w:before="0" w:after="283"/>
              <w:jc w:val="left"/>
              <w:rPr>
                <w:sz w:val="4"/>
                <w:szCs w:val="4"/>
              </w:rPr>
            </w:pPr>
            <w:r>
              <w:rPr>
                <w:sz w:val="4"/>
                <w:szCs w:val="4"/>
              </w:rPr>
            </w:r>
          </w:p>
        </w:tc>
        <w:tc>
          <w:tcPr>
            <w:tcW w:w="8016"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163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3.01</w:t>
            </w:r>
          </w:p>
        </w:tc>
        <w:tc>
          <w:tcPr>
            <w:tcW w:w="125" w:type="dxa"/>
            <w:tcBorders/>
            <w:vAlign w:val="bottom"/>
          </w:tcPr>
          <w:p>
            <w:pPr>
              <w:pStyle w:val="TableContents"/>
              <w:bidi w:val="0"/>
              <w:spacing w:before="0" w:after="283"/>
              <w:jc w:val="left"/>
              <w:rPr/>
            </w:pPr>
            <w:r>
              <w:rPr/>
              <w:t> </w:t>
            </w:r>
          </w:p>
        </w:tc>
        <w:tc>
          <w:tcPr>
            <w:tcW w:w="789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Notices to Trustee</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rHeight w:val="120" w:hRule="atLeast"/>
        </w:trPr>
        <w:tc>
          <w:tcPr>
            <w:tcW w:w="1638" w:type="dxa"/>
            <w:tcBorders/>
            <w:vAlign w:val="center"/>
          </w:tcPr>
          <w:p>
            <w:pPr>
              <w:pStyle w:val="TableContents"/>
              <w:bidi w:val="0"/>
              <w:spacing w:before="0" w:after="283"/>
              <w:jc w:val="left"/>
              <w:rPr>
                <w:sz w:val="4"/>
                <w:szCs w:val="4"/>
              </w:rPr>
            </w:pPr>
            <w:r>
              <w:rPr>
                <w:sz w:val="4"/>
                <w:szCs w:val="4"/>
              </w:rPr>
            </w:r>
          </w:p>
        </w:tc>
        <w:tc>
          <w:tcPr>
            <w:tcW w:w="8016"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163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3.02</w:t>
            </w:r>
          </w:p>
        </w:tc>
        <w:tc>
          <w:tcPr>
            <w:tcW w:w="125" w:type="dxa"/>
            <w:tcBorders/>
            <w:vAlign w:val="bottom"/>
          </w:tcPr>
          <w:p>
            <w:pPr>
              <w:pStyle w:val="TableContents"/>
              <w:bidi w:val="0"/>
              <w:spacing w:before="0" w:after="283"/>
              <w:jc w:val="left"/>
              <w:rPr/>
            </w:pPr>
            <w:r>
              <w:rPr/>
              <w:t> </w:t>
            </w:r>
          </w:p>
        </w:tc>
        <w:tc>
          <w:tcPr>
            <w:tcW w:w="789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Selection of Securities to be Redeemed</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rHeight w:val="120" w:hRule="atLeast"/>
        </w:trPr>
        <w:tc>
          <w:tcPr>
            <w:tcW w:w="1638" w:type="dxa"/>
            <w:tcBorders/>
            <w:vAlign w:val="center"/>
          </w:tcPr>
          <w:p>
            <w:pPr>
              <w:pStyle w:val="TableContents"/>
              <w:bidi w:val="0"/>
              <w:spacing w:before="0" w:after="283"/>
              <w:jc w:val="left"/>
              <w:rPr>
                <w:sz w:val="4"/>
                <w:szCs w:val="4"/>
              </w:rPr>
            </w:pPr>
            <w:r>
              <w:rPr>
                <w:sz w:val="4"/>
                <w:szCs w:val="4"/>
              </w:rPr>
            </w:r>
          </w:p>
        </w:tc>
        <w:tc>
          <w:tcPr>
            <w:tcW w:w="8016"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163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3.03</w:t>
            </w:r>
          </w:p>
        </w:tc>
        <w:tc>
          <w:tcPr>
            <w:tcW w:w="125" w:type="dxa"/>
            <w:tcBorders/>
            <w:vAlign w:val="bottom"/>
          </w:tcPr>
          <w:p>
            <w:pPr>
              <w:pStyle w:val="TableContents"/>
              <w:bidi w:val="0"/>
              <w:spacing w:before="0" w:after="283"/>
              <w:jc w:val="left"/>
              <w:rPr/>
            </w:pPr>
            <w:r>
              <w:rPr/>
              <w:t> </w:t>
            </w:r>
          </w:p>
        </w:tc>
        <w:tc>
          <w:tcPr>
            <w:tcW w:w="789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Notice of Redemption</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rHeight w:val="120" w:hRule="atLeast"/>
        </w:trPr>
        <w:tc>
          <w:tcPr>
            <w:tcW w:w="1638" w:type="dxa"/>
            <w:tcBorders/>
            <w:vAlign w:val="center"/>
          </w:tcPr>
          <w:p>
            <w:pPr>
              <w:pStyle w:val="TableContents"/>
              <w:bidi w:val="0"/>
              <w:spacing w:before="0" w:after="283"/>
              <w:jc w:val="left"/>
              <w:rPr>
                <w:sz w:val="4"/>
                <w:szCs w:val="4"/>
              </w:rPr>
            </w:pPr>
            <w:r>
              <w:rPr>
                <w:sz w:val="4"/>
                <w:szCs w:val="4"/>
              </w:rPr>
            </w:r>
          </w:p>
        </w:tc>
        <w:tc>
          <w:tcPr>
            <w:tcW w:w="8016"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163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3.04</w:t>
            </w:r>
          </w:p>
        </w:tc>
        <w:tc>
          <w:tcPr>
            <w:tcW w:w="125" w:type="dxa"/>
            <w:tcBorders/>
            <w:vAlign w:val="bottom"/>
          </w:tcPr>
          <w:p>
            <w:pPr>
              <w:pStyle w:val="TableContents"/>
              <w:bidi w:val="0"/>
              <w:spacing w:before="0" w:after="283"/>
              <w:jc w:val="left"/>
              <w:rPr/>
            </w:pPr>
            <w:r>
              <w:rPr/>
              <w:t> </w:t>
            </w:r>
          </w:p>
        </w:tc>
        <w:tc>
          <w:tcPr>
            <w:tcW w:w="789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Effect of Notice of Redemption</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rHeight w:val="120" w:hRule="atLeast"/>
        </w:trPr>
        <w:tc>
          <w:tcPr>
            <w:tcW w:w="1638" w:type="dxa"/>
            <w:tcBorders/>
            <w:vAlign w:val="center"/>
          </w:tcPr>
          <w:p>
            <w:pPr>
              <w:pStyle w:val="TableContents"/>
              <w:bidi w:val="0"/>
              <w:spacing w:before="0" w:after="283"/>
              <w:jc w:val="left"/>
              <w:rPr>
                <w:sz w:val="4"/>
                <w:szCs w:val="4"/>
              </w:rPr>
            </w:pPr>
            <w:r>
              <w:rPr>
                <w:sz w:val="4"/>
                <w:szCs w:val="4"/>
              </w:rPr>
            </w:r>
          </w:p>
        </w:tc>
        <w:tc>
          <w:tcPr>
            <w:tcW w:w="8016"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163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3.05</w:t>
            </w:r>
          </w:p>
        </w:tc>
        <w:tc>
          <w:tcPr>
            <w:tcW w:w="125" w:type="dxa"/>
            <w:tcBorders/>
            <w:vAlign w:val="bottom"/>
          </w:tcPr>
          <w:p>
            <w:pPr>
              <w:pStyle w:val="TableContents"/>
              <w:bidi w:val="0"/>
              <w:spacing w:before="0" w:after="283"/>
              <w:jc w:val="left"/>
              <w:rPr/>
            </w:pPr>
            <w:r>
              <w:rPr/>
              <w:t> </w:t>
            </w:r>
          </w:p>
        </w:tc>
        <w:tc>
          <w:tcPr>
            <w:tcW w:w="789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Deposit of Redemption Price</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rHeight w:val="120" w:hRule="atLeast"/>
        </w:trPr>
        <w:tc>
          <w:tcPr>
            <w:tcW w:w="1638" w:type="dxa"/>
            <w:tcBorders/>
            <w:vAlign w:val="center"/>
          </w:tcPr>
          <w:p>
            <w:pPr>
              <w:pStyle w:val="TableContents"/>
              <w:bidi w:val="0"/>
              <w:spacing w:before="0" w:after="283"/>
              <w:jc w:val="left"/>
              <w:rPr>
                <w:sz w:val="4"/>
                <w:szCs w:val="4"/>
              </w:rPr>
            </w:pPr>
            <w:r>
              <w:rPr>
                <w:sz w:val="4"/>
                <w:szCs w:val="4"/>
              </w:rPr>
            </w:r>
          </w:p>
        </w:tc>
        <w:tc>
          <w:tcPr>
            <w:tcW w:w="8016"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163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3.06</w:t>
            </w:r>
          </w:p>
        </w:tc>
        <w:tc>
          <w:tcPr>
            <w:tcW w:w="125" w:type="dxa"/>
            <w:tcBorders/>
            <w:vAlign w:val="bottom"/>
          </w:tcPr>
          <w:p>
            <w:pPr>
              <w:pStyle w:val="TableContents"/>
              <w:bidi w:val="0"/>
              <w:spacing w:before="0" w:after="283"/>
              <w:jc w:val="left"/>
              <w:rPr/>
            </w:pPr>
            <w:r>
              <w:rPr/>
              <w:t> </w:t>
            </w:r>
          </w:p>
        </w:tc>
        <w:tc>
          <w:tcPr>
            <w:tcW w:w="789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Securities Redeemed in Part</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b/>
              </w:rPr>
            </w:pPr>
            <w:r>
              <w:rPr>
                <w:b/>
              </w:rPr>
              <w:t>ARTICLE FOUR</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b/>
              </w:rPr>
            </w:pPr>
            <w:r>
              <w:rPr>
                <w:b/>
              </w:rPr>
              <w:t>COVENANTS</w:t>
            </w:r>
          </w:p>
        </w:tc>
        <w:tc>
          <w:tcPr>
            <w:tcW w:w="63" w:type="dxa"/>
            <w:tcBorders/>
          </w:tcPr>
          <w:p>
            <w:pPr>
              <w:pStyle w:val="TableContents"/>
              <w:bidi w:val="0"/>
              <w:spacing w:before="0" w:after="0"/>
              <w:jc w:val="left"/>
              <w:rPr/>
            </w:pPr>
            <w:r>
              <w:rPr/>
              <w:t> </w:t>
            </w:r>
          </w:p>
        </w:tc>
      </w:tr>
      <w:tr>
        <w:trPr>
          <w:trHeight w:val="120" w:hRule="atLeast"/>
        </w:trPr>
        <w:tc>
          <w:tcPr>
            <w:tcW w:w="1638" w:type="dxa"/>
            <w:tcBorders/>
            <w:vAlign w:val="center"/>
          </w:tcPr>
          <w:p>
            <w:pPr>
              <w:pStyle w:val="TableContents"/>
              <w:bidi w:val="0"/>
              <w:spacing w:before="0" w:after="283"/>
              <w:jc w:val="left"/>
              <w:rPr>
                <w:sz w:val="4"/>
                <w:szCs w:val="4"/>
              </w:rPr>
            </w:pPr>
            <w:r>
              <w:rPr>
                <w:sz w:val="4"/>
                <w:szCs w:val="4"/>
              </w:rPr>
            </w:r>
          </w:p>
        </w:tc>
        <w:tc>
          <w:tcPr>
            <w:tcW w:w="8016"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163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4.01</w:t>
            </w:r>
          </w:p>
        </w:tc>
        <w:tc>
          <w:tcPr>
            <w:tcW w:w="125" w:type="dxa"/>
            <w:tcBorders/>
            <w:vAlign w:val="bottom"/>
          </w:tcPr>
          <w:p>
            <w:pPr>
              <w:pStyle w:val="TableContents"/>
              <w:bidi w:val="0"/>
              <w:spacing w:before="0" w:after="283"/>
              <w:jc w:val="left"/>
              <w:rPr/>
            </w:pPr>
            <w:r>
              <w:rPr/>
              <w:t> </w:t>
            </w:r>
          </w:p>
        </w:tc>
        <w:tc>
          <w:tcPr>
            <w:tcW w:w="789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Payment of Securities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rHeight w:val="120" w:hRule="atLeast"/>
        </w:trPr>
        <w:tc>
          <w:tcPr>
            <w:tcW w:w="1638" w:type="dxa"/>
            <w:tcBorders/>
            <w:vAlign w:val="center"/>
          </w:tcPr>
          <w:p>
            <w:pPr>
              <w:pStyle w:val="TableContents"/>
              <w:bidi w:val="0"/>
              <w:spacing w:before="0" w:after="283"/>
              <w:jc w:val="left"/>
              <w:rPr>
                <w:sz w:val="4"/>
                <w:szCs w:val="4"/>
              </w:rPr>
            </w:pPr>
            <w:r>
              <w:rPr>
                <w:sz w:val="4"/>
                <w:szCs w:val="4"/>
              </w:rPr>
            </w:r>
          </w:p>
        </w:tc>
        <w:tc>
          <w:tcPr>
            <w:tcW w:w="8016"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163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4.02</w:t>
            </w:r>
          </w:p>
        </w:tc>
        <w:tc>
          <w:tcPr>
            <w:tcW w:w="125" w:type="dxa"/>
            <w:tcBorders/>
            <w:vAlign w:val="bottom"/>
          </w:tcPr>
          <w:p>
            <w:pPr>
              <w:pStyle w:val="TableContents"/>
              <w:bidi w:val="0"/>
              <w:spacing w:before="0" w:after="283"/>
              <w:jc w:val="left"/>
              <w:rPr/>
            </w:pPr>
            <w:r>
              <w:rPr/>
              <w:t> </w:t>
            </w:r>
          </w:p>
        </w:tc>
        <w:tc>
          <w:tcPr>
            <w:tcW w:w="789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Maintenance of Office or Agency</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rHeight w:val="120" w:hRule="atLeast"/>
        </w:trPr>
        <w:tc>
          <w:tcPr>
            <w:tcW w:w="1638" w:type="dxa"/>
            <w:tcBorders/>
            <w:vAlign w:val="center"/>
          </w:tcPr>
          <w:p>
            <w:pPr>
              <w:pStyle w:val="TableContents"/>
              <w:bidi w:val="0"/>
              <w:spacing w:before="0" w:after="283"/>
              <w:jc w:val="left"/>
              <w:rPr>
                <w:sz w:val="4"/>
                <w:szCs w:val="4"/>
              </w:rPr>
            </w:pPr>
            <w:r>
              <w:rPr>
                <w:sz w:val="4"/>
                <w:szCs w:val="4"/>
              </w:rPr>
            </w:r>
          </w:p>
        </w:tc>
        <w:tc>
          <w:tcPr>
            <w:tcW w:w="8016"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163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4.03</w:t>
            </w:r>
          </w:p>
        </w:tc>
        <w:tc>
          <w:tcPr>
            <w:tcW w:w="125" w:type="dxa"/>
            <w:tcBorders/>
            <w:vAlign w:val="bottom"/>
          </w:tcPr>
          <w:p>
            <w:pPr>
              <w:pStyle w:val="TableContents"/>
              <w:bidi w:val="0"/>
              <w:spacing w:before="0" w:after="283"/>
              <w:jc w:val="left"/>
              <w:rPr/>
            </w:pPr>
            <w:r>
              <w:rPr/>
              <w:t> </w:t>
            </w:r>
          </w:p>
        </w:tc>
        <w:tc>
          <w:tcPr>
            <w:tcW w:w="789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Reports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rHeight w:val="120" w:hRule="atLeast"/>
        </w:trPr>
        <w:tc>
          <w:tcPr>
            <w:tcW w:w="1638" w:type="dxa"/>
            <w:tcBorders/>
            <w:vAlign w:val="center"/>
          </w:tcPr>
          <w:p>
            <w:pPr>
              <w:pStyle w:val="TableContents"/>
              <w:bidi w:val="0"/>
              <w:spacing w:before="0" w:after="283"/>
              <w:jc w:val="left"/>
              <w:rPr>
                <w:sz w:val="4"/>
                <w:szCs w:val="4"/>
              </w:rPr>
            </w:pPr>
            <w:r>
              <w:rPr>
                <w:sz w:val="4"/>
                <w:szCs w:val="4"/>
              </w:rPr>
            </w:r>
          </w:p>
        </w:tc>
        <w:tc>
          <w:tcPr>
            <w:tcW w:w="8016"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163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4.04</w:t>
            </w:r>
          </w:p>
        </w:tc>
        <w:tc>
          <w:tcPr>
            <w:tcW w:w="125" w:type="dxa"/>
            <w:tcBorders/>
            <w:vAlign w:val="bottom"/>
          </w:tcPr>
          <w:p>
            <w:pPr>
              <w:pStyle w:val="TableContents"/>
              <w:bidi w:val="0"/>
              <w:spacing w:before="0" w:after="283"/>
              <w:jc w:val="left"/>
              <w:rPr/>
            </w:pPr>
            <w:r>
              <w:rPr/>
              <w:t> </w:t>
            </w:r>
          </w:p>
        </w:tc>
        <w:tc>
          <w:tcPr>
            <w:tcW w:w="789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Compliance Certificate</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rHeight w:val="120" w:hRule="atLeast"/>
        </w:trPr>
        <w:tc>
          <w:tcPr>
            <w:tcW w:w="1638" w:type="dxa"/>
            <w:tcBorders/>
            <w:vAlign w:val="center"/>
          </w:tcPr>
          <w:p>
            <w:pPr>
              <w:pStyle w:val="TableContents"/>
              <w:bidi w:val="0"/>
              <w:spacing w:before="0" w:after="283"/>
              <w:jc w:val="left"/>
              <w:rPr>
                <w:sz w:val="4"/>
                <w:szCs w:val="4"/>
              </w:rPr>
            </w:pPr>
            <w:r>
              <w:rPr>
                <w:sz w:val="4"/>
                <w:szCs w:val="4"/>
              </w:rPr>
            </w:r>
          </w:p>
        </w:tc>
        <w:tc>
          <w:tcPr>
            <w:tcW w:w="8016"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163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4.05</w:t>
            </w:r>
          </w:p>
        </w:tc>
        <w:tc>
          <w:tcPr>
            <w:tcW w:w="125" w:type="dxa"/>
            <w:tcBorders/>
            <w:vAlign w:val="bottom"/>
          </w:tcPr>
          <w:p>
            <w:pPr>
              <w:pStyle w:val="TableContents"/>
              <w:bidi w:val="0"/>
              <w:spacing w:before="0" w:after="283"/>
              <w:jc w:val="left"/>
              <w:rPr/>
            </w:pPr>
            <w:r>
              <w:rPr/>
              <w:t> </w:t>
            </w:r>
          </w:p>
        </w:tc>
        <w:tc>
          <w:tcPr>
            <w:tcW w:w="789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Waiver of Stay, Extension or Usury Laws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b/>
              </w:rPr>
            </w:pPr>
            <w:r>
              <w:rPr>
                <w:b/>
              </w:rPr>
              <w:t>ARTICLE FIVE</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b/>
              </w:rPr>
            </w:pPr>
            <w:r>
              <w:rPr>
                <w:b/>
              </w:rPr>
              <w:t>SUCCESSOR COMPANY</w:t>
            </w:r>
          </w:p>
        </w:tc>
        <w:tc>
          <w:tcPr>
            <w:tcW w:w="63" w:type="dxa"/>
            <w:tcBorders/>
          </w:tcPr>
          <w:p>
            <w:pPr>
              <w:pStyle w:val="TableContents"/>
              <w:bidi w:val="0"/>
              <w:spacing w:before="0" w:after="0"/>
              <w:jc w:val="left"/>
              <w:rPr/>
            </w:pPr>
            <w:r>
              <w:rPr/>
              <w:t> </w:t>
            </w:r>
          </w:p>
        </w:tc>
      </w:tr>
      <w:tr>
        <w:trPr>
          <w:trHeight w:val="120" w:hRule="atLeast"/>
        </w:trPr>
        <w:tc>
          <w:tcPr>
            <w:tcW w:w="1638" w:type="dxa"/>
            <w:tcBorders/>
            <w:vAlign w:val="center"/>
          </w:tcPr>
          <w:p>
            <w:pPr>
              <w:pStyle w:val="TableContents"/>
              <w:bidi w:val="0"/>
              <w:spacing w:before="0" w:after="283"/>
              <w:jc w:val="left"/>
              <w:rPr>
                <w:sz w:val="4"/>
                <w:szCs w:val="4"/>
              </w:rPr>
            </w:pPr>
            <w:r>
              <w:rPr>
                <w:sz w:val="4"/>
                <w:szCs w:val="4"/>
              </w:rPr>
            </w:r>
          </w:p>
        </w:tc>
        <w:tc>
          <w:tcPr>
            <w:tcW w:w="8016"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163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5.01</w:t>
            </w:r>
          </w:p>
        </w:tc>
        <w:tc>
          <w:tcPr>
            <w:tcW w:w="125" w:type="dxa"/>
            <w:tcBorders/>
            <w:vAlign w:val="bottom"/>
          </w:tcPr>
          <w:p>
            <w:pPr>
              <w:pStyle w:val="TableContents"/>
              <w:bidi w:val="0"/>
              <w:spacing w:before="0" w:after="283"/>
              <w:jc w:val="left"/>
              <w:rPr/>
            </w:pPr>
            <w:r>
              <w:rPr/>
              <w:t> </w:t>
            </w:r>
          </w:p>
        </w:tc>
        <w:tc>
          <w:tcPr>
            <w:tcW w:w="789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When Company May Merge, etc.</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b/>
              </w:rPr>
            </w:pPr>
            <w:r>
              <w:rPr>
                <w:b/>
              </w:rPr>
              <w:t>ARTICLE SIX</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b/>
              </w:rPr>
            </w:pPr>
            <w:r>
              <w:rPr>
                <w:b/>
              </w:rPr>
              <w:t>DEFAULTS AND REMEDIES</w:t>
            </w:r>
          </w:p>
        </w:tc>
        <w:tc>
          <w:tcPr>
            <w:tcW w:w="63" w:type="dxa"/>
            <w:tcBorders/>
          </w:tcPr>
          <w:p>
            <w:pPr>
              <w:pStyle w:val="TableContents"/>
              <w:bidi w:val="0"/>
              <w:spacing w:before="0" w:after="0"/>
              <w:jc w:val="left"/>
              <w:rPr/>
            </w:pPr>
            <w:r>
              <w:rPr/>
              <w:t> </w:t>
            </w:r>
          </w:p>
        </w:tc>
      </w:tr>
      <w:tr>
        <w:trPr>
          <w:trHeight w:val="120" w:hRule="atLeast"/>
        </w:trPr>
        <w:tc>
          <w:tcPr>
            <w:tcW w:w="1638" w:type="dxa"/>
            <w:tcBorders/>
            <w:vAlign w:val="center"/>
          </w:tcPr>
          <w:p>
            <w:pPr>
              <w:pStyle w:val="TableContents"/>
              <w:bidi w:val="0"/>
              <w:spacing w:before="0" w:after="283"/>
              <w:jc w:val="left"/>
              <w:rPr>
                <w:sz w:val="4"/>
                <w:szCs w:val="4"/>
              </w:rPr>
            </w:pPr>
            <w:r>
              <w:rPr>
                <w:sz w:val="4"/>
                <w:szCs w:val="4"/>
              </w:rPr>
            </w:r>
          </w:p>
        </w:tc>
        <w:tc>
          <w:tcPr>
            <w:tcW w:w="8016"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163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6.01</w:t>
            </w:r>
          </w:p>
        </w:tc>
        <w:tc>
          <w:tcPr>
            <w:tcW w:w="125" w:type="dxa"/>
            <w:tcBorders/>
            <w:vAlign w:val="bottom"/>
          </w:tcPr>
          <w:p>
            <w:pPr>
              <w:pStyle w:val="TableContents"/>
              <w:bidi w:val="0"/>
              <w:spacing w:before="0" w:after="283"/>
              <w:jc w:val="left"/>
              <w:rPr/>
            </w:pPr>
            <w:r>
              <w:rPr/>
              <w:t> </w:t>
            </w:r>
          </w:p>
        </w:tc>
        <w:tc>
          <w:tcPr>
            <w:tcW w:w="789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Events of Default</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rHeight w:val="120" w:hRule="atLeast"/>
        </w:trPr>
        <w:tc>
          <w:tcPr>
            <w:tcW w:w="1638" w:type="dxa"/>
            <w:tcBorders/>
            <w:vAlign w:val="center"/>
          </w:tcPr>
          <w:p>
            <w:pPr>
              <w:pStyle w:val="TableContents"/>
              <w:bidi w:val="0"/>
              <w:spacing w:before="0" w:after="283"/>
              <w:jc w:val="left"/>
              <w:rPr>
                <w:sz w:val="4"/>
                <w:szCs w:val="4"/>
              </w:rPr>
            </w:pPr>
            <w:r>
              <w:rPr>
                <w:sz w:val="4"/>
                <w:szCs w:val="4"/>
              </w:rPr>
            </w:r>
          </w:p>
        </w:tc>
        <w:tc>
          <w:tcPr>
            <w:tcW w:w="8016"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163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6.02</w:t>
            </w:r>
          </w:p>
        </w:tc>
        <w:tc>
          <w:tcPr>
            <w:tcW w:w="125" w:type="dxa"/>
            <w:tcBorders/>
            <w:vAlign w:val="bottom"/>
          </w:tcPr>
          <w:p>
            <w:pPr>
              <w:pStyle w:val="TableContents"/>
              <w:bidi w:val="0"/>
              <w:spacing w:before="0" w:after="283"/>
              <w:jc w:val="left"/>
              <w:rPr/>
            </w:pPr>
            <w:r>
              <w:rPr/>
              <w:t> </w:t>
            </w:r>
          </w:p>
        </w:tc>
        <w:tc>
          <w:tcPr>
            <w:tcW w:w="789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Acceleration</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120" w:hRule="atLeast"/>
        </w:trPr>
        <w:tc>
          <w:tcPr>
            <w:tcW w:w="1638" w:type="dxa"/>
            <w:tcBorders/>
            <w:vAlign w:val="center"/>
          </w:tcPr>
          <w:p>
            <w:pPr>
              <w:pStyle w:val="TableContents"/>
              <w:bidi w:val="0"/>
              <w:spacing w:before="0" w:after="283"/>
              <w:jc w:val="left"/>
              <w:rPr>
                <w:sz w:val="4"/>
                <w:szCs w:val="4"/>
              </w:rPr>
            </w:pPr>
            <w:r>
              <w:rPr>
                <w:sz w:val="4"/>
                <w:szCs w:val="4"/>
              </w:rPr>
            </w:r>
          </w:p>
        </w:tc>
        <w:tc>
          <w:tcPr>
            <w:tcW w:w="8016"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163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6.03</w:t>
            </w:r>
          </w:p>
        </w:tc>
        <w:tc>
          <w:tcPr>
            <w:tcW w:w="125" w:type="dxa"/>
            <w:tcBorders/>
            <w:vAlign w:val="bottom"/>
          </w:tcPr>
          <w:p>
            <w:pPr>
              <w:pStyle w:val="TableContents"/>
              <w:bidi w:val="0"/>
              <w:spacing w:before="0" w:after="283"/>
              <w:jc w:val="left"/>
              <w:rPr/>
            </w:pPr>
            <w:r>
              <w:rPr/>
              <w:t> </w:t>
            </w:r>
          </w:p>
        </w:tc>
        <w:tc>
          <w:tcPr>
            <w:tcW w:w="789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Other Remedies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120" w:hRule="atLeast"/>
        </w:trPr>
        <w:tc>
          <w:tcPr>
            <w:tcW w:w="1638" w:type="dxa"/>
            <w:tcBorders/>
            <w:vAlign w:val="center"/>
          </w:tcPr>
          <w:p>
            <w:pPr>
              <w:pStyle w:val="TableContents"/>
              <w:bidi w:val="0"/>
              <w:spacing w:before="0" w:after="283"/>
              <w:jc w:val="left"/>
              <w:rPr>
                <w:sz w:val="4"/>
                <w:szCs w:val="4"/>
              </w:rPr>
            </w:pPr>
            <w:r>
              <w:rPr>
                <w:sz w:val="4"/>
                <w:szCs w:val="4"/>
              </w:rPr>
            </w:r>
          </w:p>
        </w:tc>
        <w:tc>
          <w:tcPr>
            <w:tcW w:w="8016"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163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6.04</w:t>
            </w:r>
          </w:p>
        </w:tc>
        <w:tc>
          <w:tcPr>
            <w:tcW w:w="125" w:type="dxa"/>
            <w:tcBorders/>
            <w:vAlign w:val="bottom"/>
          </w:tcPr>
          <w:p>
            <w:pPr>
              <w:pStyle w:val="TableContents"/>
              <w:bidi w:val="0"/>
              <w:spacing w:before="0" w:after="283"/>
              <w:jc w:val="left"/>
              <w:rPr/>
            </w:pPr>
            <w:r>
              <w:rPr/>
              <w:t> </w:t>
            </w:r>
          </w:p>
        </w:tc>
        <w:tc>
          <w:tcPr>
            <w:tcW w:w="789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Waiver of Existing Defaults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120" w:hRule="atLeast"/>
        </w:trPr>
        <w:tc>
          <w:tcPr>
            <w:tcW w:w="1638" w:type="dxa"/>
            <w:tcBorders/>
            <w:vAlign w:val="center"/>
          </w:tcPr>
          <w:p>
            <w:pPr>
              <w:pStyle w:val="TableContents"/>
              <w:bidi w:val="0"/>
              <w:spacing w:before="0" w:after="283"/>
              <w:jc w:val="left"/>
              <w:rPr>
                <w:sz w:val="4"/>
                <w:szCs w:val="4"/>
              </w:rPr>
            </w:pPr>
            <w:r>
              <w:rPr>
                <w:sz w:val="4"/>
                <w:szCs w:val="4"/>
              </w:rPr>
            </w:r>
          </w:p>
        </w:tc>
        <w:tc>
          <w:tcPr>
            <w:tcW w:w="8016"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163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6.05</w:t>
            </w:r>
          </w:p>
        </w:tc>
        <w:tc>
          <w:tcPr>
            <w:tcW w:w="125" w:type="dxa"/>
            <w:tcBorders/>
            <w:vAlign w:val="bottom"/>
          </w:tcPr>
          <w:p>
            <w:pPr>
              <w:pStyle w:val="TableContents"/>
              <w:bidi w:val="0"/>
              <w:spacing w:before="0" w:after="283"/>
              <w:jc w:val="left"/>
              <w:rPr/>
            </w:pPr>
            <w:r>
              <w:rPr/>
              <w:t> </w:t>
            </w:r>
          </w:p>
        </w:tc>
        <w:tc>
          <w:tcPr>
            <w:tcW w:w="789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Control by Majority</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120" w:hRule="atLeast"/>
        </w:trPr>
        <w:tc>
          <w:tcPr>
            <w:tcW w:w="1638" w:type="dxa"/>
            <w:tcBorders/>
            <w:vAlign w:val="center"/>
          </w:tcPr>
          <w:p>
            <w:pPr>
              <w:pStyle w:val="TableContents"/>
              <w:bidi w:val="0"/>
              <w:spacing w:before="0" w:after="283"/>
              <w:jc w:val="left"/>
              <w:rPr>
                <w:sz w:val="4"/>
                <w:szCs w:val="4"/>
              </w:rPr>
            </w:pPr>
            <w:r>
              <w:rPr>
                <w:sz w:val="4"/>
                <w:szCs w:val="4"/>
              </w:rPr>
            </w:r>
          </w:p>
        </w:tc>
        <w:tc>
          <w:tcPr>
            <w:tcW w:w="8016"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163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6.06</w:t>
            </w:r>
          </w:p>
        </w:tc>
        <w:tc>
          <w:tcPr>
            <w:tcW w:w="125" w:type="dxa"/>
            <w:tcBorders/>
            <w:vAlign w:val="bottom"/>
          </w:tcPr>
          <w:p>
            <w:pPr>
              <w:pStyle w:val="TableContents"/>
              <w:bidi w:val="0"/>
              <w:spacing w:before="0" w:after="283"/>
              <w:jc w:val="left"/>
              <w:rPr/>
            </w:pPr>
            <w:r>
              <w:rPr/>
              <w:t> </w:t>
            </w:r>
          </w:p>
        </w:tc>
        <w:tc>
          <w:tcPr>
            <w:tcW w:w="789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Limitation on Suits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120" w:hRule="atLeast"/>
        </w:trPr>
        <w:tc>
          <w:tcPr>
            <w:tcW w:w="1638" w:type="dxa"/>
            <w:tcBorders/>
            <w:vAlign w:val="center"/>
          </w:tcPr>
          <w:p>
            <w:pPr>
              <w:pStyle w:val="TableContents"/>
              <w:bidi w:val="0"/>
              <w:spacing w:before="0" w:after="283"/>
              <w:jc w:val="left"/>
              <w:rPr>
                <w:sz w:val="4"/>
                <w:szCs w:val="4"/>
              </w:rPr>
            </w:pPr>
            <w:r>
              <w:rPr>
                <w:sz w:val="4"/>
                <w:szCs w:val="4"/>
              </w:rPr>
            </w:r>
          </w:p>
        </w:tc>
        <w:tc>
          <w:tcPr>
            <w:tcW w:w="8016"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163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6.07</w:t>
            </w:r>
          </w:p>
        </w:tc>
        <w:tc>
          <w:tcPr>
            <w:tcW w:w="125" w:type="dxa"/>
            <w:tcBorders/>
            <w:vAlign w:val="bottom"/>
          </w:tcPr>
          <w:p>
            <w:pPr>
              <w:pStyle w:val="TableContents"/>
              <w:bidi w:val="0"/>
              <w:spacing w:before="0" w:after="283"/>
              <w:jc w:val="left"/>
              <w:rPr/>
            </w:pPr>
            <w:r>
              <w:rPr/>
              <w:t> </w:t>
            </w:r>
          </w:p>
        </w:tc>
        <w:tc>
          <w:tcPr>
            <w:tcW w:w="789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Rights of Holders to Receive Payment and Convert</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rHeight w:val="120" w:hRule="atLeast"/>
        </w:trPr>
        <w:tc>
          <w:tcPr>
            <w:tcW w:w="1638" w:type="dxa"/>
            <w:tcBorders/>
            <w:vAlign w:val="center"/>
          </w:tcPr>
          <w:p>
            <w:pPr>
              <w:pStyle w:val="TableContents"/>
              <w:bidi w:val="0"/>
              <w:spacing w:before="0" w:after="283"/>
              <w:jc w:val="left"/>
              <w:rPr>
                <w:sz w:val="4"/>
                <w:szCs w:val="4"/>
              </w:rPr>
            </w:pPr>
            <w:r>
              <w:rPr>
                <w:sz w:val="4"/>
                <w:szCs w:val="4"/>
              </w:rPr>
            </w:r>
          </w:p>
        </w:tc>
        <w:tc>
          <w:tcPr>
            <w:tcW w:w="8016"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163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6.08</w:t>
            </w:r>
          </w:p>
        </w:tc>
        <w:tc>
          <w:tcPr>
            <w:tcW w:w="125" w:type="dxa"/>
            <w:tcBorders/>
            <w:vAlign w:val="bottom"/>
          </w:tcPr>
          <w:p>
            <w:pPr>
              <w:pStyle w:val="TableContents"/>
              <w:bidi w:val="0"/>
              <w:spacing w:before="0" w:after="283"/>
              <w:jc w:val="left"/>
              <w:rPr/>
            </w:pPr>
            <w:r>
              <w:rPr/>
              <w:t> </w:t>
            </w:r>
          </w:p>
        </w:tc>
        <w:tc>
          <w:tcPr>
            <w:tcW w:w="789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Collection Suit by Trustee</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rHeight w:val="120" w:hRule="atLeast"/>
        </w:trPr>
        <w:tc>
          <w:tcPr>
            <w:tcW w:w="1638" w:type="dxa"/>
            <w:tcBorders/>
            <w:vAlign w:val="center"/>
          </w:tcPr>
          <w:p>
            <w:pPr>
              <w:pStyle w:val="TableContents"/>
              <w:bidi w:val="0"/>
              <w:spacing w:before="0" w:after="283"/>
              <w:jc w:val="left"/>
              <w:rPr>
                <w:sz w:val="4"/>
                <w:szCs w:val="4"/>
              </w:rPr>
            </w:pPr>
            <w:r>
              <w:rPr>
                <w:sz w:val="4"/>
                <w:szCs w:val="4"/>
              </w:rPr>
            </w:r>
          </w:p>
        </w:tc>
        <w:tc>
          <w:tcPr>
            <w:tcW w:w="8016"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163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6.09</w:t>
            </w:r>
          </w:p>
        </w:tc>
        <w:tc>
          <w:tcPr>
            <w:tcW w:w="125" w:type="dxa"/>
            <w:tcBorders/>
            <w:vAlign w:val="bottom"/>
          </w:tcPr>
          <w:p>
            <w:pPr>
              <w:pStyle w:val="TableContents"/>
              <w:bidi w:val="0"/>
              <w:spacing w:before="0" w:after="283"/>
              <w:jc w:val="left"/>
              <w:rPr/>
            </w:pPr>
            <w:r>
              <w:rPr/>
              <w:t> </w:t>
            </w:r>
          </w:p>
        </w:tc>
        <w:tc>
          <w:tcPr>
            <w:tcW w:w="789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Trustee May File Proofs of Claim</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rHeight w:val="120" w:hRule="atLeast"/>
        </w:trPr>
        <w:tc>
          <w:tcPr>
            <w:tcW w:w="1638" w:type="dxa"/>
            <w:tcBorders/>
            <w:vAlign w:val="center"/>
          </w:tcPr>
          <w:p>
            <w:pPr>
              <w:pStyle w:val="TableContents"/>
              <w:bidi w:val="0"/>
              <w:spacing w:before="0" w:after="283"/>
              <w:jc w:val="left"/>
              <w:rPr>
                <w:sz w:val="4"/>
                <w:szCs w:val="4"/>
              </w:rPr>
            </w:pPr>
            <w:r>
              <w:rPr>
                <w:sz w:val="4"/>
                <w:szCs w:val="4"/>
              </w:rPr>
            </w:r>
          </w:p>
        </w:tc>
        <w:tc>
          <w:tcPr>
            <w:tcW w:w="8016"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163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6.10</w:t>
            </w:r>
          </w:p>
        </w:tc>
        <w:tc>
          <w:tcPr>
            <w:tcW w:w="125" w:type="dxa"/>
            <w:tcBorders/>
            <w:vAlign w:val="bottom"/>
          </w:tcPr>
          <w:p>
            <w:pPr>
              <w:pStyle w:val="TableContents"/>
              <w:bidi w:val="0"/>
              <w:spacing w:before="0" w:after="283"/>
              <w:jc w:val="left"/>
              <w:rPr/>
            </w:pPr>
            <w:r>
              <w:rPr/>
              <w:t> </w:t>
            </w:r>
          </w:p>
        </w:tc>
        <w:tc>
          <w:tcPr>
            <w:tcW w:w="789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Priorities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rHeight w:val="120" w:hRule="atLeast"/>
        </w:trPr>
        <w:tc>
          <w:tcPr>
            <w:tcW w:w="1638" w:type="dxa"/>
            <w:tcBorders/>
            <w:vAlign w:val="center"/>
          </w:tcPr>
          <w:p>
            <w:pPr>
              <w:pStyle w:val="TableContents"/>
              <w:bidi w:val="0"/>
              <w:spacing w:before="0" w:after="283"/>
              <w:jc w:val="left"/>
              <w:rPr>
                <w:sz w:val="4"/>
                <w:szCs w:val="4"/>
              </w:rPr>
            </w:pPr>
            <w:r>
              <w:rPr>
                <w:sz w:val="4"/>
                <w:szCs w:val="4"/>
              </w:rPr>
            </w:r>
          </w:p>
        </w:tc>
        <w:tc>
          <w:tcPr>
            <w:tcW w:w="8016"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163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6.11</w:t>
            </w:r>
          </w:p>
        </w:tc>
        <w:tc>
          <w:tcPr>
            <w:tcW w:w="125" w:type="dxa"/>
            <w:tcBorders/>
            <w:vAlign w:val="bottom"/>
          </w:tcPr>
          <w:p>
            <w:pPr>
              <w:pStyle w:val="TableContents"/>
              <w:bidi w:val="0"/>
              <w:spacing w:before="0" w:after="283"/>
              <w:jc w:val="left"/>
              <w:rPr/>
            </w:pPr>
            <w:r>
              <w:rPr/>
              <w:t> </w:t>
            </w:r>
          </w:p>
        </w:tc>
        <w:tc>
          <w:tcPr>
            <w:tcW w:w="789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Undertaking for Costs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642"/>
        <w:gridCol w:w="124"/>
        <w:gridCol w:w="7883"/>
        <w:gridCol w:w="167"/>
        <w:gridCol w:w="60"/>
        <w:gridCol w:w="265"/>
        <w:gridCol w:w="64"/>
      </w:tblGrid>
      <w:tr>
        <w:trPr/>
        <w:tc>
          <w:tcPr>
            <w:tcW w:w="1642"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7883"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b/>
              </w:rPr>
            </w:pPr>
            <w:r>
              <w:rPr>
                <w:b/>
              </w:rPr>
              <w:t>ARTICLE SEVEN</w:t>
            </w:r>
          </w:p>
        </w:tc>
        <w:tc>
          <w:tcPr>
            <w:tcW w:w="64"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b/>
              </w:rPr>
            </w:pPr>
            <w:r>
              <w:rPr>
                <w:b/>
              </w:rPr>
              <w:t>TRUSTEE</w:t>
            </w:r>
          </w:p>
        </w:tc>
        <w:tc>
          <w:tcPr>
            <w:tcW w:w="64" w:type="dxa"/>
            <w:tcBorders/>
          </w:tcPr>
          <w:p>
            <w:pPr>
              <w:pStyle w:val="TableContents"/>
              <w:bidi w:val="0"/>
              <w:spacing w:before="0" w:after="0"/>
              <w:jc w:val="left"/>
              <w:rPr/>
            </w:pPr>
            <w:r>
              <w:rPr/>
              <w:t> </w:t>
            </w:r>
          </w:p>
        </w:tc>
      </w:tr>
      <w:tr>
        <w:trPr>
          <w:trHeight w:val="120" w:hRule="atLeast"/>
        </w:trPr>
        <w:tc>
          <w:tcPr>
            <w:tcW w:w="1642" w:type="dxa"/>
            <w:tcBorders/>
            <w:vAlign w:val="center"/>
          </w:tcPr>
          <w:p>
            <w:pPr>
              <w:pStyle w:val="TableContents"/>
              <w:bidi w:val="0"/>
              <w:spacing w:before="0" w:after="283"/>
              <w:jc w:val="left"/>
              <w:rPr>
                <w:sz w:val="4"/>
                <w:szCs w:val="4"/>
              </w:rPr>
            </w:pPr>
            <w:r>
              <w:rPr>
                <w:sz w:val="4"/>
                <w:szCs w:val="4"/>
              </w:rPr>
            </w:r>
          </w:p>
        </w:tc>
        <w:tc>
          <w:tcPr>
            <w:tcW w:w="8007" w:type="dxa"/>
            <w:gridSpan w:val="2"/>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16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7.01</w:t>
            </w:r>
          </w:p>
        </w:tc>
        <w:tc>
          <w:tcPr>
            <w:tcW w:w="124" w:type="dxa"/>
            <w:tcBorders/>
            <w:vAlign w:val="bottom"/>
          </w:tcPr>
          <w:p>
            <w:pPr>
              <w:pStyle w:val="TableContents"/>
              <w:bidi w:val="0"/>
              <w:spacing w:before="0" w:after="283"/>
              <w:jc w:val="left"/>
              <w:rPr/>
            </w:pPr>
            <w:r>
              <w:rPr/>
              <w:t> </w:t>
            </w:r>
          </w:p>
        </w:tc>
        <w:tc>
          <w:tcPr>
            <w:tcW w:w="788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Duties of Trustee</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17</w:t>
            </w:r>
          </w:p>
        </w:tc>
        <w:tc>
          <w:tcPr>
            <w:tcW w:w="64" w:type="dxa"/>
            <w:tcBorders/>
            <w:vAlign w:val="bottom"/>
          </w:tcPr>
          <w:p>
            <w:pPr>
              <w:pStyle w:val="TableContents"/>
              <w:bidi w:val="0"/>
              <w:spacing w:before="0" w:after="283"/>
              <w:jc w:val="left"/>
              <w:rPr/>
            </w:pPr>
            <w:r>
              <w:rPr/>
              <w:t> </w:t>
            </w:r>
          </w:p>
        </w:tc>
      </w:tr>
      <w:tr>
        <w:trPr>
          <w:trHeight w:val="120" w:hRule="atLeast"/>
        </w:trPr>
        <w:tc>
          <w:tcPr>
            <w:tcW w:w="1642" w:type="dxa"/>
            <w:tcBorders/>
            <w:vAlign w:val="center"/>
          </w:tcPr>
          <w:p>
            <w:pPr>
              <w:pStyle w:val="TableContents"/>
              <w:bidi w:val="0"/>
              <w:spacing w:before="0" w:after="283"/>
              <w:jc w:val="left"/>
              <w:rPr>
                <w:sz w:val="4"/>
                <w:szCs w:val="4"/>
              </w:rPr>
            </w:pPr>
            <w:r>
              <w:rPr>
                <w:sz w:val="4"/>
                <w:szCs w:val="4"/>
              </w:rPr>
            </w:r>
          </w:p>
        </w:tc>
        <w:tc>
          <w:tcPr>
            <w:tcW w:w="8007" w:type="dxa"/>
            <w:gridSpan w:val="2"/>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16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7.02</w:t>
            </w:r>
          </w:p>
        </w:tc>
        <w:tc>
          <w:tcPr>
            <w:tcW w:w="124" w:type="dxa"/>
            <w:tcBorders/>
            <w:vAlign w:val="bottom"/>
          </w:tcPr>
          <w:p>
            <w:pPr>
              <w:pStyle w:val="TableContents"/>
              <w:bidi w:val="0"/>
              <w:spacing w:before="0" w:after="283"/>
              <w:jc w:val="left"/>
              <w:rPr/>
            </w:pPr>
            <w:r>
              <w:rPr/>
              <w:t> </w:t>
            </w:r>
          </w:p>
        </w:tc>
        <w:tc>
          <w:tcPr>
            <w:tcW w:w="788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Rights of Trustee</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18</w:t>
            </w:r>
          </w:p>
        </w:tc>
        <w:tc>
          <w:tcPr>
            <w:tcW w:w="64" w:type="dxa"/>
            <w:tcBorders/>
            <w:vAlign w:val="bottom"/>
          </w:tcPr>
          <w:p>
            <w:pPr>
              <w:pStyle w:val="TableContents"/>
              <w:bidi w:val="0"/>
              <w:spacing w:before="0" w:after="283"/>
              <w:jc w:val="left"/>
              <w:rPr/>
            </w:pPr>
            <w:r>
              <w:rPr/>
              <w:t> </w:t>
            </w:r>
          </w:p>
        </w:tc>
      </w:tr>
      <w:tr>
        <w:trPr>
          <w:trHeight w:val="120" w:hRule="atLeast"/>
        </w:trPr>
        <w:tc>
          <w:tcPr>
            <w:tcW w:w="1642" w:type="dxa"/>
            <w:tcBorders/>
            <w:vAlign w:val="center"/>
          </w:tcPr>
          <w:p>
            <w:pPr>
              <w:pStyle w:val="TableContents"/>
              <w:bidi w:val="0"/>
              <w:spacing w:before="0" w:after="283"/>
              <w:jc w:val="left"/>
              <w:rPr>
                <w:sz w:val="4"/>
                <w:szCs w:val="4"/>
              </w:rPr>
            </w:pPr>
            <w:r>
              <w:rPr>
                <w:sz w:val="4"/>
                <w:szCs w:val="4"/>
              </w:rPr>
            </w:r>
          </w:p>
        </w:tc>
        <w:tc>
          <w:tcPr>
            <w:tcW w:w="8007" w:type="dxa"/>
            <w:gridSpan w:val="2"/>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16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7.03</w:t>
            </w:r>
          </w:p>
        </w:tc>
        <w:tc>
          <w:tcPr>
            <w:tcW w:w="124" w:type="dxa"/>
            <w:tcBorders/>
            <w:vAlign w:val="bottom"/>
          </w:tcPr>
          <w:p>
            <w:pPr>
              <w:pStyle w:val="TableContents"/>
              <w:bidi w:val="0"/>
              <w:spacing w:before="0" w:after="283"/>
              <w:jc w:val="left"/>
              <w:rPr/>
            </w:pPr>
            <w:r>
              <w:rPr/>
              <w:t> </w:t>
            </w:r>
          </w:p>
        </w:tc>
        <w:tc>
          <w:tcPr>
            <w:tcW w:w="788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Individual Rights of Trustee</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19</w:t>
            </w:r>
          </w:p>
        </w:tc>
        <w:tc>
          <w:tcPr>
            <w:tcW w:w="64" w:type="dxa"/>
            <w:tcBorders/>
            <w:vAlign w:val="bottom"/>
          </w:tcPr>
          <w:p>
            <w:pPr>
              <w:pStyle w:val="TableContents"/>
              <w:bidi w:val="0"/>
              <w:spacing w:before="0" w:after="283"/>
              <w:jc w:val="left"/>
              <w:rPr/>
            </w:pPr>
            <w:r>
              <w:rPr/>
              <w:t> </w:t>
            </w:r>
          </w:p>
        </w:tc>
      </w:tr>
      <w:tr>
        <w:trPr>
          <w:trHeight w:val="120" w:hRule="atLeast"/>
        </w:trPr>
        <w:tc>
          <w:tcPr>
            <w:tcW w:w="1642" w:type="dxa"/>
            <w:tcBorders/>
            <w:vAlign w:val="center"/>
          </w:tcPr>
          <w:p>
            <w:pPr>
              <w:pStyle w:val="TableContents"/>
              <w:bidi w:val="0"/>
              <w:spacing w:before="0" w:after="283"/>
              <w:jc w:val="left"/>
              <w:rPr>
                <w:sz w:val="4"/>
                <w:szCs w:val="4"/>
              </w:rPr>
            </w:pPr>
            <w:r>
              <w:rPr>
                <w:sz w:val="4"/>
                <w:szCs w:val="4"/>
              </w:rPr>
            </w:r>
          </w:p>
        </w:tc>
        <w:tc>
          <w:tcPr>
            <w:tcW w:w="8007" w:type="dxa"/>
            <w:gridSpan w:val="2"/>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16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7.04</w:t>
            </w:r>
          </w:p>
        </w:tc>
        <w:tc>
          <w:tcPr>
            <w:tcW w:w="124" w:type="dxa"/>
            <w:tcBorders/>
            <w:vAlign w:val="bottom"/>
          </w:tcPr>
          <w:p>
            <w:pPr>
              <w:pStyle w:val="TableContents"/>
              <w:bidi w:val="0"/>
              <w:spacing w:before="0" w:after="283"/>
              <w:jc w:val="left"/>
              <w:rPr/>
            </w:pPr>
            <w:r>
              <w:rPr/>
              <w:t> </w:t>
            </w:r>
          </w:p>
        </w:tc>
        <w:tc>
          <w:tcPr>
            <w:tcW w:w="788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Trustee’s Disclaimer</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19</w:t>
            </w:r>
          </w:p>
        </w:tc>
        <w:tc>
          <w:tcPr>
            <w:tcW w:w="64" w:type="dxa"/>
            <w:tcBorders/>
            <w:vAlign w:val="bottom"/>
          </w:tcPr>
          <w:p>
            <w:pPr>
              <w:pStyle w:val="TableContents"/>
              <w:bidi w:val="0"/>
              <w:spacing w:before="0" w:after="283"/>
              <w:jc w:val="left"/>
              <w:rPr/>
            </w:pPr>
            <w:r>
              <w:rPr/>
              <w:t> </w:t>
            </w:r>
          </w:p>
        </w:tc>
      </w:tr>
      <w:tr>
        <w:trPr>
          <w:trHeight w:val="120" w:hRule="atLeast"/>
        </w:trPr>
        <w:tc>
          <w:tcPr>
            <w:tcW w:w="1642" w:type="dxa"/>
            <w:tcBorders/>
            <w:vAlign w:val="center"/>
          </w:tcPr>
          <w:p>
            <w:pPr>
              <w:pStyle w:val="TableContents"/>
              <w:bidi w:val="0"/>
              <w:spacing w:before="0" w:after="283"/>
              <w:jc w:val="left"/>
              <w:rPr>
                <w:sz w:val="4"/>
                <w:szCs w:val="4"/>
              </w:rPr>
            </w:pPr>
            <w:r>
              <w:rPr>
                <w:sz w:val="4"/>
                <w:szCs w:val="4"/>
              </w:rPr>
            </w:r>
          </w:p>
        </w:tc>
        <w:tc>
          <w:tcPr>
            <w:tcW w:w="8007" w:type="dxa"/>
            <w:gridSpan w:val="2"/>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16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7.05</w:t>
            </w:r>
          </w:p>
        </w:tc>
        <w:tc>
          <w:tcPr>
            <w:tcW w:w="124" w:type="dxa"/>
            <w:tcBorders/>
            <w:vAlign w:val="bottom"/>
          </w:tcPr>
          <w:p>
            <w:pPr>
              <w:pStyle w:val="TableContents"/>
              <w:bidi w:val="0"/>
              <w:spacing w:before="0" w:after="283"/>
              <w:jc w:val="left"/>
              <w:rPr/>
            </w:pPr>
            <w:r>
              <w:rPr/>
              <w:t> </w:t>
            </w:r>
          </w:p>
        </w:tc>
        <w:tc>
          <w:tcPr>
            <w:tcW w:w="788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Notice of Defaults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19</w:t>
            </w:r>
          </w:p>
        </w:tc>
        <w:tc>
          <w:tcPr>
            <w:tcW w:w="64" w:type="dxa"/>
            <w:tcBorders/>
            <w:vAlign w:val="bottom"/>
          </w:tcPr>
          <w:p>
            <w:pPr>
              <w:pStyle w:val="TableContents"/>
              <w:bidi w:val="0"/>
              <w:spacing w:before="0" w:after="283"/>
              <w:jc w:val="left"/>
              <w:rPr/>
            </w:pPr>
            <w:r>
              <w:rPr/>
              <w:t> </w:t>
            </w:r>
          </w:p>
        </w:tc>
      </w:tr>
      <w:tr>
        <w:trPr>
          <w:trHeight w:val="120" w:hRule="atLeast"/>
        </w:trPr>
        <w:tc>
          <w:tcPr>
            <w:tcW w:w="1642" w:type="dxa"/>
            <w:tcBorders/>
            <w:vAlign w:val="center"/>
          </w:tcPr>
          <w:p>
            <w:pPr>
              <w:pStyle w:val="TableContents"/>
              <w:bidi w:val="0"/>
              <w:spacing w:before="0" w:after="283"/>
              <w:jc w:val="left"/>
              <w:rPr>
                <w:sz w:val="4"/>
                <w:szCs w:val="4"/>
              </w:rPr>
            </w:pPr>
            <w:r>
              <w:rPr>
                <w:sz w:val="4"/>
                <w:szCs w:val="4"/>
              </w:rPr>
            </w:r>
          </w:p>
        </w:tc>
        <w:tc>
          <w:tcPr>
            <w:tcW w:w="8007" w:type="dxa"/>
            <w:gridSpan w:val="2"/>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16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7.06</w:t>
            </w:r>
          </w:p>
        </w:tc>
        <w:tc>
          <w:tcPr>
            <w:tcW w:w="124" w:type="dxa"/>
            <w:tcBorders/>
            <w:vAlign w:val="bottom"/>
          </w:tcPr>
          <w:p>
            <w:pPr>
              <w:pStyle w:val="TableContents"/>
              <w:bidi w:val="0"/>
              <w:spacing w:before="0" w:after="283"/>
              <w:jc w:val="left"/>
              <w:rPr/>
            </w:pPr>
            <w:r>
              <w:rPr/>
              <w:t> </w:t>
            </w:r>
          </w:p>
        </w:tc>
        <w:tc>
          <w:tcPr>
            <w:tcW w:w="788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Reports by Trustee to Holders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19</w:t>
            </w:r>
          </w:p>
        </w:tc>
        <w:tc>
          <w:tcPr>
            <w:tcW w:w="64" w:type="dxa"/>
            <w:tcBorders/>
            <w:vAlign w:val="bottom"/>
          </w:tcPr>
          <w:p>
            <w:pPr>
              <w:pStyle w:val="TableContents"/>
              <w:bidi w:val="0"/>
              <w:spacing w:before="0" w:after="283"/>
              <w:jc w:val="left"/>
              <w:rPr/>
            </w:pPr>
            <w:r>
              <w:rPr/>
              <w:t> </w:t>
            </w:r>
          </w:p>
        </w:tc>
      </w:tr>
      <w:tr>
        <w:trPr>
          <w:trHeight w:val="120" w:hRule="atLeast"/>
        </w:trPr>
        <w:tc>
          <w:tcPr>
            <w:tcW w:w="1642" w:type="dxa"/>
            <w:tcBorders/>
            <w:vAlign w:val="center"/>
          </w:tcPr>
          <w:p>
            <w:pPr>
              <w:pStyle w:val="TableContents"/>
              <w:bidi w:val="0"/>
              <w:spacing w:before="0" w:after="283"/>
              <w:jc w:val="left"/>
              <w:rPr>
                <w:sz w:val="4"/>
                <w:szCs w:val="4"/>
              </w:rPr>
            </w:pPr>
            <w:r>
              <w:rPr>
                <w:sz w:val="4"/>
                <w:szCs w:val="4"/>
              </w:rPr>
            </w:r>
          </w:p>
        </w:tc>
        <w:tc>
          <w:tcPr>
            <w:tcW w:w="8007" w:type="dxa"/>
            <w:gridSpan w:val="2"/>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16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7.07</w:t>
            </w:r>
          </w:p>
        </w:tc>
        <w:tc>
          <w:tcPr>
            <w:tcW w:w="124" w:type="dxa"/>
            <w:tcBorders/>
            <w:vAlign w:val="bottom"/>
          </w:tcPr>
          <w:p>
            <w:pPr>
              <w:pStyle w:val="TableContents"/>
              <w:bidi w:val="0"/>
              <w:spacing w:before="0" w:after="283"/>
              <w:jc w:val="left"/>
              <w:rPr/>
            </w:pPr>
            <w:r>
              <w:rPr/>
              <w:t> </w:t>
            </w:r>
          </w:p>
        </w:tc>
        <w:tc>
          <w:tcPr>
            <w:tcW w:w="788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Compensation and Indemnity</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rHeight w:val="120" w:hRule="atLeast"/>
        </w:trPr>
        <w:tc>
          <w:tcPr>
            <w:tcW w:w="1642" w:type="dxa"/>
            <w:tcBorders/>
            <w:vAlign w:val="center"/>
          </w:tcPr>
          <w:p>
            <w:pPr>
              <w:pStyle w:val="TableContents"/>
              <w:bidi w:val="0"/>
              <w:spacing w:before="0" w:after="283"/>
              <w:jc w:val="left"/>
              <w:rPr>
                <w:sz w:val="4"/>
                <w:szCs w:val="4"/>
              </w:rPr>
            </w:pPr>
            <w:r>
              <w:rPr>
                <w:sz w:val="4"/>
                <w:szCs w:val="4"/>
              </w:rPr>
            </w:r>
          </w:p>
        </w:tc>
        <w:tc>
          <w:tcPr>
            <w:tcW w:w="8007" w:type="dxa"/>
            <w:gridSpan w:val="2"/>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16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7.08</w:t>
            </w:r>
          </w:p>
        </w:tc>
        <w:tc>
          <w:tcPr>
            <w:tcW w:w="124" w:type="dxa"/>
            <w:tcBorders/>
            <w:vAlign w:val="bottom"/>
          </w:tcPr>
          <w:p>
            <w:pPr>
              <w:pStyle w:val="TableContents"/>
              <w:bidi w:val="0"/>
              <w:spacing w:before="0" w:after="283"/>
              <w:jc w:val="left"/>
              <w:rPr/>
            </w:pPr>
            <w:r>
              <w:rPr/>
              <w:t> </w:t>
            </w:r>
          </w:p>
        </w:tc>
        <w:tc>
          <w:tcPr>
            <w:tcW w:w="788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Replacement of Trustee</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rHeight w:val="120" w:hRule="atLeast"/>
        </w:trPr>
        <w:tc>
          <w:tcPr>
            <w:tcW w:w="1642" w:type="dxa"/>
            <w:tcBorders/>
            <w:vAlign w:val="center"/>
          </w:tcPr>
          <w:p>
            <w:pPr>
              <w:pStyle w:val="TableContents"/>
              <w:bidi w:val="0"/>
              <w:spacing w:before="0" w:after="283"/>
              <w:jc w:val="left"/>
              <w:rPr>
                <w:sz w:val="4"/>
                <w:szCs w:val="4"/>
              </w:rPr>
            </w:pPr>
            <w:r>
              <w:rPr>
                <w:sz w:val="4"/>
                <w:szCs w:val="4"/>
              </w:rPr>
            </w:r>
          </w:p>
        </w:tc>
        <w:tc>
          <w:tcPr>
            <w:tcW w:w="8007" w:type="dxa"/>
            <w:gridSpan w:val="2"/>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16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7.09</w:t>
            </w:r>
          </w:p>
        </w:tc>
        <w:tc>
          <w:tcPr>
            <w:tcW w:w="124" w:type="dxa"/>
            <w:tcBorders/>
            <w:vAlign w:val="bottom"/>
          </w:tcPr>
          <w:p>
            <w:pPr>
              <w:pStyle w:val="TableContents"/>
              <w:bidi w:val="0"/>
              <w:spacing w:before="0" w:after="283"/>
              <w:jc w:val="left"/>
              <w:rPr/>
            </w:pPr>
            <w:r>
              <w:rPr/>
              <w:t> </w:t>
            </w:r>
          </w:p>
        </w:tc>
        <w:tc>
          <w:tcPr>
            <w:tcW w:w="788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Successor Trustee by Merger, etc.</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rHeight w:val="120" w:hRule="atLeast"/>
        </w:trPr>
        <w:tc>
          <w:tcPr>
            <w:tcW w:w="1642" w:type="dxa"/>
            <w:tcBorders/>
            <w:vAlign w:val="center"/>
          </w:tcPr>
          <w:p>
            <w:pPr>
              <w:pStyle w:val="TableContents"/>
              <w:bidi w:val="0"/>
              <w:spacing w:before="0" w:after="283"/>
              <w:jc w:val="left"/>
              <w:rPr>
                <w:sz w:val="4"/>
                <w:szCs w:val="4"/>
              </w:rPr>
            </w:pPr>
            <w:r>
              <w:rPr>
                <w:sz w:val="4"/>
                <w:szCs w:val="4"/>
              </w:rPr>
            </w:r>
          </w:p>
        </w:tc>
        <w:tc>
          <w:tcPr>
            <w:tcW w:w="8007" w:type="dxa"/>
            <w:gridSpan w:val="2"/>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16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7.10</w:t>
            </w:r>
          </w:p>
        </w:tc>
        <w:tc>
          <w:tcPr>
            <w:tcW w:w="124" w:type="dxa"/>
            <w:tcBorders/>
            <w:vAlign w:val="bottom"/>
          </w:tcPr>
          <w:p>
            <w:pPr>
              <w:pStyle w:val="TableContents"/>
              <w:bidi w:val="0"/>
              <w:spacing w:before="0" w:after="283"/>
              <w:jc w:val="left"/>
              <w:rPr/>
            </w:pPr>
            <w:r>
              <w:rPr/>
              <w:t> </w:t>
            </w:r>
          </w:p>
        </w:tc>
        <w:tc>
          <w:tcPr>
            <w:tcW w:w="788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Eligibility; Disqualification</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rHeight w:val="120" w:hRule="atLeast"/>
        </w:trPr>
        <w:tc>
          <w:tcPr>
            <w:tcW w:w="1642" w:type="dxa"/>
            <w:tcBorders/>
            <w:vAlign w:val="center"/>
          </w:tcPr>
          <w:p>
            <w:pPr>
              <w:pStyle w:val="TableContents"/>
              <w:bidi w:val="0"/>
              <w:spacing w:before="0" w:after="283"/>
              <w:jc w:val="left"/>
              <w:rPr>
                <w:sz w:val="4"/>
                <w:szCs w:val="4"/>
              </w:rPr>
            </w:pPr>
            <w:r>
              <w:rPr>
                <w:sz w:val="4"/>
                <w:szCs w:val="4"/>
              </w:rPr>
            </w:r>
          </w:p>
        </w:tc>
        <w:tc>
          <w:tcPr>
            <w:tcW w:w="8007" w:type="dxa"/>
            <w:gridSpan w:val="2"/>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16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7.11</w:t>
            </w:r>
          </w:p>
        </w:tc>
        <w:tc>
          <w:tcPr>
            <w:tcW w:w="124" w:type="dxa"/>
            <w:tcBorders/>
            <w:vAlign w:val="bottom"/>
          </w:tcPr>
          <w:p>
            <w:pPr>
              <w:pStyle w:val="TableContents"/>
              <w:bidi w:val="0"/>
              <w:spacing w:before="0" w:after="283"/>
              <w:jc w:val="left"/>
              <w:rPr/>
            </w:pPr>
            <w:r>
              <w:rPr/>
              <w:t> </w:t>
            </w:r>
          </w:p>
        </w:tc>
        <w:tc>
          <w:tcPr>
            <w:tcW w:w="788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Preferential Collection of Claims Against Company</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b/>
              </w:rPr>
            </w:pPr>
            <w:r>
              <w:rPr>
                <w:b/>
              </w:rPr>
              <w:t>ARTICLE EIGHT</w:t>
            </w:r>
          </w:p>
        </w:tc>
        <w:tc>
          <w:tcPr>
            <w:tcW w:w="64"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b/>
              </w:rPr>
            </w:pPr>
            <w:r>
              <w:rPr>
                <w:b/>
              </w:rPr>
              <w:t>DISCHARGE OF INDENTURE</w:t>
            </w:r>
          </w:p>
        </w:tc>
        <w:tc>
          <w:tcPr>
            <w:tcW w:w="64" w:type="dxa"/>
            <w:tcBorders/>
          </w:tcPr>
          <w:p>
            <w:pPr>
              <w:pStyle w:val="TableContents"/>
              <w:bidi w:val="0"/>
              <w:spacing w:before="0" w:after="0"/>
              <w:jc w:val="left"/>
              <w:rPr/>
            </w:pPr>
            <w:r>
              <w:rPr/>
              <w:t> </w:t>
            </w:r>
          </w:p>
        </w:tc>
      </w:tr>
      <w:tr>
        <w:trPr>
          <w:trHeight w:val="120" w:hRule="atLeast"/>
        </w:trPr>
        <w:tc>
          <w:tcPr>
            <w:tcW w:w="1642" w:type="dxa"/>
            <w:tcBorders/>
            <w:vAlign w:val="center"/>
          </w:tcPr>
          <w:p>
            <w:pPr>
              <w:pStyle w:val="TableContents"/>
              <w:bidi w:val="0"/>
              <w:spacing w:before="0" w:after="283"/>
              <w:jc w:val="left"/>
              <w:rPr>
                <w:sz w:val="4"/>
                <w:szCs w:val="4"/>
              </w:rPr>
            </w:pPr>
            <w:r>
              <w:rPr>
                <w:sz w:val="4"/>
                <w:szCs w:val="4"/>
              </w:rPr>
            </w:r>
          </w:p>
        </w:tc>
        <w:tc>
          <w:tcPr>
            <w:tcW w:w="8007" w:type="dxa"/>
            <w:gridSpan w:val="2"/>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16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8.01</w:t>
            </w:r>
          </w:p>
        </w:tc>
        <w:tc>
          <w:tcPr>
            <w:tcW w:w="124" w:type="dxa"/>
            <w:tcBorders/>
            <w:vAlign w:val="bottom"/>
          </w:tcPr>
          <w:p>
            <w:pPr>
              <w:pStyle w:val="TableContents"/>
              <w:bidi w:val="0"/>
              <w:spacing w:before="0" w:after="283"/>
              <w:jc w:val="left"/>
              <w:rPr/>
            </w:pPr>
            <w:r>
              <w:rPr/>
              <w:t> </w:t>
            </w:r>
          </w:p>
        </w:tc>
        <w:tc>
          <w:tcPr>
            <w:tcW w:w="788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Defeasance upon Deposit of Moneys or Government Obligations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rHeight w:val="120" w:hRule="atLeast"/>
        </w:trPr>
        <w:tc>
          <w:tcPr>
            <w:tcW w:w="1642" w:type="dxa"/>
            <w:tcBorders/>
            <w:vAlign w:val="center"/>
          </w:tcPr>
          <w:p>
            <w:pPr>
              <w:pStyle w:val="TableContents"/>
              <w:bidi w:val="0"/>
              <w:spacing w:before="0" w:after="283"/>
              <w:jc w:val="left"/>
              <w:rPr>
                <w:sz w:val="4"/>
                <w:szCs w:val="4"/>
              </w:rPr>
            </w:pPr>
            <w:r>
              <w:rPr>
                <w:sz w:val="4"/>
                <w:szCs w:val="4"/>
              </w:rPr>
            </w:r>
          </w:p>
        </w:tc>
        <w:tc>
          <w:tcPr>
            <w:tcW w:w="8007" w:type="dxa"/>
            <w:gridSpan w:val="2"/>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16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8.02</w:t>
            </w:r>
          </w:p>
        </w:tc>
        <w:tc>
          <w:tcPr>
            <w:tcW w:w="124" w:type="dxa"/>
            <w:tcBorders/>
            <w:vAlign w:val="bottom"/>
          </w:tcPr>
          <w:p>
            <w:pPr>
              <w:pStyle w:val="TableContents"/>
              <w:bidi w:val="0"/>
              <w:spacing w:before="0" w:after="283"/>
              <w:jc w:val="left"/>
              <w:rPr/>
            </w:pPr>
            <w:r>
              <w:rPr/>
              <w:t> </w:t>
            </w:r>
          </w:p>
        </w:tc>
        <w:tc>
          <w:tcPr>
            <w:tcW w:w="788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Survival of the Company’s Obligations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23</w:t>
            </w:r>
          </w:p>
        </w:tc>
        <w:tc>
          <w:tcPr>
            <w:tcW w:w="64" w:type="dxa"/>
            <w:tcBorders/>
            <w:vAlign w:val="bottom"/>
          </w:tcPr>
          <w:p>
            <w:pPr>
              <w:pStyle w:val="TableContents"/>
              <w:bidi w:val="0"/>
              <w:spacing w:before="0" w:after="283"/>
              <w:jc w:val="left"/>
              <w:rPr/>
            </w:pPr>
            <w:r>
              <w:rPr/>
              <w:t> </w:t>
            </w:r>
          </w:p>
        </w:tc>
      </w:tr>
      <w:tr>
        <w:trPr>
          <w:trHeight w:val="120" w:hRule="atLeast"/>
        </w:trPr>
        <w:tc>
          <w:tcPr>
            <w:tcW w:w="1642" w:type="dxa"/>
            <w:tcBorders/>
            <w:vAlign w:val="center"/>
          </w:tcPr>
          <w:p>
            <w:pPr>
              <w:pStyle w:val="TableContents"/>
              <w:bidi w:val="0"/>
              <w:spacing w:before="0" w:after="283"/>
              <w:jc w:val="left"/>
              <w:rPr>
                <w:sz w:val="4"/>
                <w:szCs w:val="4"/>
              </w:rPr>
            </w:pPr>
            <w:r>
              <w:rPr>
                <w:sz w:val="4"/>
                <w:szCs w:val="4"/>
              </w:rPr>
            </w:r>
          </w:p>
        </w:tc>
        <w:tc>
          <w:tcPr>
            <w:tcW w:w="8007" w:type="dxa"/>
            <w:gridSpan w:val="2"/>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16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8.03</w:t>
            </w:r>
          </w:p>
        </w:tc>
        <w:tc>
          <w:tcPr>
            <w:tcW w:w="124" w:type="dxa"/>
            <w:tcBorders/>
            <w:vAlign w:val="bottom"/>
          </w:tcPr>
          <w:p>
            <w:pPr>
              <w:pStyle w:val="TableContents"/>
              <w:bidi w:val="0"/>
              <w:spacing w:before="0" w:after="283"/>
              <w:jc w:val="left"/>
              <w:rPr/>
            </w:pPr>
            <w:r>
              <w:rPr/>
              <w:t> </w:t>
            </w:r>
          </w:p>
        </w:tc>
        <w:tc>
          <w:tcPr>
            <w:tcW w:w="788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Application of Trust Money</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23</w:t>
            </w:r>
          </w:p>
        </w:tc>
        <w:tc>
          <w:tcPr>
            <w:tcW w:w="64" w:type="dxa"/>
            <w:tcBorders/>
            <w:vAlign w:val="bottom"/>
          </w:tcPr>
          <w:p>
            <w:pPr>
              <w:pStyle w:val="TableContents"/>
              <w:bidi w:val="0"/>
              <w:spacing w:before="0" w:after="283"/>
              <w:jc w:val="left"/>
              <w:rPr/>
            </w:pPr>
            <w:r>
              <w:rPr/>
              <w:t> </w:t>
            </w:r>
          </w:p>
        </w:tc>
      </w:tr>
      <w:tr>
        <w:trPr>
          <w:trHeight w:val="120" w:hRule="atLeast"/>
        </w:trPr>
        <w:tc>
          <w:tcPr>
            <w:tcW w:w="1642" w:type="dxa"/>
            <w:tcBorders/>
            <w:vAlign w:val="center"/>
          </w:tcPr>
          <w:p>
            <w:pPr>
              <w:pStyle w:val="TableContents"/>
              <w:bidi w:val="0"/>
              <w:spacing w:before="0" w:after="283"/>
              <w:jc w:val="left"/>
              <w:rPr>
                <w:sz w:val="4"/>
                <w:szCs w:val="4"/>
              </w:rPr>
            </w:pPr>
            <w:r>
              <w:rPr>
                <w:sz w:val="4"/>
                <w:szCs w:val="4"/>
              </w:rPr>
            </w:r>
          </w:p>
        </w:tc>
        <w:tc>
          <w:tcPr>
            <w:tcW w:w="8007" w:type="dxa"/>
            <w:gridSpan w:val="2"/>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16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8.04</w:t>
            </w:r>
          </w:p>
        </w:tc>
        <w:tc>
          <w:tcPr>
            <w:tcW w:w="124" w:type="dxa"/>
            <w:tcBorders/>
            <w:vAlign w:val="bottom"/>
          </w:tcPr>
          <w:p>
            <w:pPr>
              <w:pStyle w:val="TableContents"/>
              <w:bidi w:val="0"/>
              <w:spacing w:before="0" w:after="283"/>
              <w:jc w:val="left"/>
              <w:rPr/>
            </w:pPr>
            <w:r>
              <w:rPr/>
              <w:t> </w:t>
            </w:r>
          </w:p>
        </w:tc>
        <w:tc>
          <w:tcPr>
            <w:tcW w:w="788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Repayment to the Company</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23</w:t>
            </w:r>
          </w:p>
        </w:tc>
        <w:tc>
          <w:tcPr>
            <w:tcW w:w="64" w:type="dxa"/>
            <w:tcBorders/>
            <w:vAlign w:val="bottom"/>
          </w:tcPr>
          <w:p>
            <w:pPr>
              <w:pStyle w:val="TableContents"/>
              <w:bidi w:val="0"/>
              <w:spacing w:before="0" w:after="283"/>
              <w:jc w:val="left"/>
              <w:rPr/>
            </w:pPr>
            <w:r>
              <w:rPr/>
              <w:t> </w:t>
            </w:r>
          </w:p>
        </w:tc>
      </w:tr>
      <w:tr>
        <w:trPr>
          <w:trHeight w:val="120" w:hRule="atLeast"/>
        </w:trPr>
        <w:tc>
          <w:tcPr>
            <w:tcW w:w="1642" w:type="dxa"/>
            <w:tcBorders/>
            <w:vAlign w:val="center"/>
          </w:tcPr>
          <w:p>
            <w:pPr>
              <w:pStyle w:val="TableContents"/>
              <w:bidi w:val="0"/>
              <w:spacing w:before="0" w:after="283"/>
              <w:jc w:val="left"/>
              <w:rPr>
                <w:sz w:val="4"/>
                <w:szCs w:val="4"/>
              </w:rPr>
            </w:pPr>
            <w:r>
              <w:rPr>
                <w:sz w:val="4"/>
                <w:szCs w:val="4"/>
              </w:rPr>
            </w:r>
          </w:p>
        </w:tc>
        <w:tc>
          <w:tcPr>
            <w:tcW w:w="8007" w:type="dxa"/>
            <w:gridSpan w:val="2"/>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16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8.05</w:t>
            </w:r>
          </w:p>
        </w:tc>
        <w:tc>
          <w:tcPr>
            <w:tcW w:w="124" w:type="dxa"/>
            <w:tcBorders/>
            <w:vAlign w:val="bottom"/>
          </w:tcPr>
          <w:p>
            <w:pPr>
              <w:pStyle w:val="TableContents"/>
              <w:bidi w:val="0"/>
              <w:spacing w:before="0" w:after="283"/>
              <w:jc w:val="left"/>
              <w:rPr/>
            </w:pPr>
            <w:r>
              <w:rPr/>
              <w:t> </w:t>
            </w:r>
          </w:p>
        </w:tc>
        <w:tc>
          <w:tcPr>
            <w:tcW w:w="788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Reinstatement</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23</w:t>
            </w:r>
          </w:p>
        </w:tc>
        <w:tc>
          <w:tcPr>
            <w:tcW w:w="64"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678"/>
        <w:gridCol w:w="122"/>
        <w:gridCol w:w="7859"/>
        <w:gridCol w:w="163"/>
        <w:gridCol w:w="60"/>
        <w:gridCol w:w="260"/>
        <w:gridCol w:w="63"/>
      </w:tblGrid>
      <w:tr>
        <w:trPr/>
        <w:tc>
          <w:tcPr>
            <w:tcW w:w="1678"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859"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b/>
              </w:rPr>
            </w:pPr>
            <w:r>
              <w:rPr>
                <w:b/>
              </w:rPr>
              <w:t>ARTICLE NINE</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b/>
              </w:rPr>
            </w:pPr>
            <w:r>
              <w:rPr>
                <w:b/>
              </w:rPr>
              <w:t>RESERVED</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b/>
              </w:rPr>
            </w:pPr>
            <w:r>
              <w:rPr>
                <w:b/>
              </w:rPr>
              <w:t>ARTICLE TEN</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b/>
              </w:rPr>
            </w:pPr>
            <w:r>
              <w:rPr>
                <w:b/>
              </w:rPr>
              <w:t>AMENDMENTS, SUPPLEMENTS AND WAIVERS</w:t>
            </w:r>
          </w:p>
        </w:tc>
        <w:tc>
          <w:tcPr>
            <w:tcW w:w="63" w:type="dxa"/>
            <w:tcBorders/>
          </w:tcPr>
          <w:p>
            <w:pPr>
              <w:pStyle w:val="TableContents"/>
              <w:bidi w:val="0"/>
              <w:spacing w:before="0" w:after="0"/>
              <w:jc w:val="left"/>
              <w:rPr/>
            </w:pPr>
            <w:r>
              <w:rPr/>
              <w:t> </w:t>
            </w:r>
          </w:p>
        </w:tc>
      </w:tr>
      <w:tr>
        <w:trPr>
          <w:trHeight w:val="120" w:hRule="atLeast"/>
        </w:trPr>
        <w:tc>
          <w:tcPr>
            <w:tcW w:w="1678" w:type="dxa"/>
            <w:tcBorders/>
            <w:vAlign w:val="center"/>
          </w:tcPr>
          <w:p>
            <w:pPr>
              <w:pStyle w:val="TableContents"/>
              <w:bidi w:val="0"/>
              <w:spacing w:before="0" w:after="283"/>
              <w:jc w:val="left"/>
              <w:rPr>
                <w:sz w:val="4"/>
                <w:szCs w:val="4"/>
              </w:rPr>
            </w:pPr>
            <w:r>
              <w:rPr>
                <w:sz w:val="4"/>
                <w:szCs w:val="4"/>
              </w:rPr>
            </w:r>
          </w:p>
        </w:tc>
        <w:tc>
          <w:tcPr>
            <w:tcW w:w="7981"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16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10.01</w:t>
            </w:r>
          </w:p>
        </w:tc>
        <w:tc>
          <w:tcPr>
            <w:tcW w:w="122" w:type="dxa"/>
            <w:tcBorders/>
            <w:vAlign w:val="bottom"/>
          </w:tcPr>
          <w:p>
            <w:pPr>
              <w:pStyle w:val="TableContents"/>
              <w:bidi w:val="0"/>
              <w:spacing w:before="0" w:after="283"/>
              <w:jc w:val="left"/>
              <w:rPr/>
            </w:pPr>
            <w:r>
              <w:rPr/>
              <w:t> </w:t>
            </w:r>
          </w:p>
        </w:tc>
        <w:tc>
          <w:tcPr>
            <w:tcW w:w="78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Without Consent of Holders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rHeight w:val="120" w:hRule="atLeast"/>
        </w:trPr>
        <w:tc>
          <w:tcPr>
            <w:tcW w:w="1678" w:type="dxa"/>
            <w:tcBorders/>
            <w:vAlign w:val="center"/>
          </w:tcPr>
          <w:p>
            <w:pPr>
              <w:pStyle w:val="TableContents"/>
              <w:bidi w:val="0"/>
              <w:spacing w:before="0" w:after="283"/>
              <w:jc w:val="left"/>
              <w:rPr>
                <w:sz w:val="4"/>
                <w:szCs w:val="4"/>
              </w:rPr>
            </w:pPr>
            <w:r>
              <w:rPr>
                <w:sz w:val="4"/>
                <w:szCs w:val="4"/>
              </w:rPr>
            </w:r>
          </w:p>
        </w:tc>
        <w:tc>
          <w:tcPr>
            <w:tcW w:w="7981"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16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10.02</w:t>
            </w:r>
          </w:p>
        </w:tc>
        <w:tc>
          <w:tcPr>
            <w:tcW w:w="122" w:type="dxa"/>
            <w:tcBorders/>
            <w:vAlign w:val="bottom"/>
          </w:tcPr>
          <w:p>
            <w:pPr>
              <w:pStyle w:val="TableContents"/>
              <w:bidi w:val="0"/>
              <w:spacing w:before="0" w:after="283"/>
              <w:jc w:val="left"/>
              <w:rPr/>
            </w:pPr>
            <w:r>
              <w:rPr/>
              <w:t> </w:t>
            </w:r>
          </w:p>
        </w:tc>
        <w:tc>
          <w:tcPr>
            <w:tcW w:w="78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With Consent of Holders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rHeight w:val="120" w:hRule="atLeast"/>
        </w:trPr>
        <w:tc>
          <w:tcPr>
            <w:tcW w:w="1678" w:type="dxa"/>
            <w:tcBorders/>
            <w:vAlign w:val="center"/>
          </w:tcPr>
          <w:p>
            <w:pPr>
              <w:pStyle w:val="TableContents"/>
              <w:bidi w:val="0"/>
              <w:spacing w:before="0" w:after="283"/>
              <w:jc w:val="left"/>
              <w:rPr>
                <w:sz w:val="4"/>
                <w:szCs w:val="4"/>
              </w:rPr>
            </w:pPr>
            <w:r>
              <w:rPr>
                <w:sz w:val="4"/>
                <w:szCs w:val="4"/>
              </w:rPr>
            </w:r>
          </w:p>
        </w:tc>
        <w:tc>
          <w:tcPr>
            <w:tcW w:w="7981"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16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10.03</w:t>
            </w:r>
          </w:p>
        </w:tc>
        <w:tc>
          <w:tcPr>
            <w:tcW w:w="122" w:type="dxa"/>
            <w:tcBorders/>
            <w:vAlign w:val="bottom"/>
          </w:tcPr>
          <w:p>
            <w:pPr>
              <w:pStyle w:val="TableContents"/>
              <w:bidi w:val="0"/>
              <w:spacing w:before="0" w:after="283"/>
              <w:jc w:val="left"/>
              <w:rPr/>
            </w:pPr>
            <w:r>
              <w:rPr/>
              <w:t> </w:t>
            </w:r>
          </w:p>
        </w:tc>
        <w:tc>
          <w:tcPr>
            <w:tcW w:w="78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Compliance with Trust Indenture Act</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rHeight w:val="120" w:hRule="atLeast"/>
        </w:trPr>
        <w:tc>
          <w:tcPr>
            <w:tcW w:w="1678" w:type="dxa"/>
            <w:tcBorders/>
            <w:vAlign w:val="center"/>
          </w:tcPr>
          <w:p>
            <w:pPr>
              <w:pStyle w:val="TableContents"/>
              <w:bidi w:val="0"/>
              <w:spacing w:before="0" w:after="283"/>
              <w:jc w:val="left"/>
              <w:rPr>
                <w:sz w:val="4"/>
                <w:szCs w:val="4"/>
              </w:rPr>
            </w:pPr>
            <w:r>
              <w:rPr>
                <w:sz w:val="4"/>
                <w:szCs w:val="4"/>
              </w:rPr>
            </w:r>
          </w:p>
        </w:tc>
        <w:tc>
          <w:tcPr>
            <w:tcW w:w="7981"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16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10.04</w:t>
            </w:r>
          </w:p>
        </w:tc>
        <w:tc>
          <w:tcPr>
            <w:tcW w:w="122" w:type="dxa"/>
            <w:tcBorders/>
            <w:vAlign w:val="bottom"/>
          </w:tcPr>
          <w:p>
            <w:pPr>
              <w:pStyle w:val="TableContents"/>
              <w:bidi w:val="0"/>
              <w:spacing w:before="0" w:after="283"/>
              <w:jc w:val="left"/>
              <w:rPr/>
            </w:pPr>
            <w:r>
              <w:rPr/>
              <w:t> </w:t>
            </w:r>
          </w:p>
        </w:tc>
        <w:tc>
          <w:tcPr>
            <w:tcW w:w="78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Revocation and Effect of Consents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rHeight w:val="120" w:hRule="atLeast"/>
        </w:trPr>
        <w:tc>
          <w:tcPr>
            <w:tcW w:w="1678" w:type="dxa"/>
            <w:tcBorders/>
            <w:vAlign w:val="center"/>
          </w:tcPr>
          <w:p>
            <w:pPr>
              <w:pStyle w:val="TableContents"/>
              <w:bidi w:val="0"/>
              <w:spacing w:before="0" w:after="283"/>
              <w:jc w:val="left"/>
              <w:rPr>
                <w:sz w:val="4"/>
                <w:szCs w:val="4"/>
              </w:rPr>
            </w:pPr>
            <w:r>
              <w:rPr>
                <w:sz w:val="4"/>
                <w:szCs w:val="4"/>
              </w:rPr>
            </w:r>
          </w:p>
        </w:tc>
        <w:tc>
          <w:tcPr>
            <w:tcW w:w="7981"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16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10.05</w:t>
            </w:r>
          </w:p>
        </w:tc>
        <w:tc>
          <w:tcPr>
            <w:tcW w:w="122" w:type="dxa"/>
            <w:tcBorders/>
            <w:vAlign w:val="bottom"/>
          </w:tcPr>
          <w:p>
            <w:pPr>
              <w:pStyle w:val="TableContents"/>
              <w:bidi w:val="0"/>
              <w:spacing w:before="0" w:after="283"/>
              <w:jc w:val="left"/>
              <w:rPr/>
            </w:pPr>
            <w:r>
              <w:rPr/>
              <w:t> </w:t>
            </w:r>
          </w:p>
        </w:tc>
        <w:tc>
          <w:tcPr>
            <w:tcW w:w="78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Notation on or Exchange of Securities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rHeight w:val="120" w:hRule="atLeast"/>
        </w:trPr>
        <w:tc>
          <w:tcPr>
            <w:tcW w:w="1678" w:type="dxa"/>
            <w:tcBorders/>
            <w:vAlign w:val="center"/>
          </w:tcPr>
          <w:p>
            <w:pPr>
              <w:pStyle w:val="TableContents"/>
              <w:bidi w:val="0"/>
              <w:spacing w:before="0" w:after="283"/>
              <w:jc w:val="left"/>
              <w:rPr>
                <w:sz w:val="4"/>
                <w:szCs w:val="4"/>
              </w:rPr>
            </w:pPr>
            <w:r>
              <w:rPr>
                <w:sz w:val="4"/>
                <w:szCs w:val="4"/>
              </w:rPr>
            </w:r>
          </w:p>
        </w:tc>
        <w:tc>
          <w:tcPr>
            <w:tcW w:w="7981"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16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10.06</w:t>
            </w:r>
          </w:p>
        </w:tc>
        <w:tc>
          <w:tcPr>
            <w:tcW w:w="122" w:type="dxa"/>
            <w:tcBorders/>
            <w:vAlign w:val="bottom"/>
          </w:tcPr>
          <w:p>
            <w:pPr>
              <w:pStyle w:val="TableContents"/>
              <w:bidi w:val="0"/>
              <w:spacing w:before="0" w:after="283"/>
              <w:jc w:val="left"/>
              <w:rPr/>
            </w:pPr>
            <w:r>
              <w:rPr/>
              <w:t> </w:t>
            </w:r>
          </w:p>
        </w:tc>
        <w:tc>
          <w:tcPr>
            <w:tcW w:w="78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Trustee to Sign Amendments, etc.</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b/>
              </w:rPr>
            </w:pPr>
            <w:r>
              <w:rPr>
                <w:b/>
              </w:rPr>
              <w:t>ARTICLE ELEVEN</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b/>
              </w:rPr>
            </w:pPr>
            <w:r>
              <w:rPr>
                <w:b/>
              </w:rPr>
              <w:t>SECURITIES IN FOREIGN CURRENCIES</w:t>
            </w:r>
          </w:p>
        </w:tc>
        <w:tc>
          <w:tcPr>
            <w:tcW w:w="63" w:type="dxa"/>
            <w:tcBorders/>
          </w:tcPr>
          <w:p>
            <w:pPr>
              <w:pStyle w:val="TableContents"/>
              <w:bidi w:val="0"/>
              <w:spacing w:before="0" w:after="0"/>
              <w:jc w:val="left"/>
              <w:rPr/>
            </w:pPr>
            <w:r>
              <w:rPr/>
              <w:t> </w:t>
            </w:r>
          </w:p>
        </w:tc>
      </w:tr>
      <w:tr>
        <w:trPr>
          <w:trHeight w:val="120" w:hRule="atLeast"/>
        </w:trPr>
        <w:tc>
          <w:tcPr>
            <w:tcW w:w="1678" w:type="dxa"/>
            <w:tcBorders/>
            <w:vAlign w:val="center"/>
          </w:tcPr>
          <w:p>
            <w:pPr>
              <w:pStyle w:val="TableContents"/>
              <w:bidi w:val="0"/>
              <w:spacing w:before="0" w:after="283"/>
              <w:jc w:val="left"/>
              <w:rPr>
                <w:sz w:val="4"/>
                <w:szCs w:val="4"/>
              </w:rPr>
            </w:pPr>
            <w:r>
              <w:rPr>
                <w:sz w:val="4"/>
                <w:szCs w:val="4"/>
              </w:rPr>
            </w:r>
          </w:p>
        </w:tc>
        <w:tc>
          <w:tcPr>
            <w:tcW w:w="7981"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16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11.01</w:t>
            </w:r>
          </w:p>
        </w:tc>
        <w:tc>
          <w:tcPr>
            <w:tcW w:w="122" w:type="dxa"/>
            <w:tcBorders/>
            <w:vAlign w:val="bottom"/>
          </w:tcPr>
          <w:p>
            <w:pPr>
              <w:pStyle w:val="TableContents"/>
              <w:bidi w:val="0"/>
              <w:spacing w:before="0" w:after="283"/>
              <w:jc w:val="left"/>
              <w:rPr/>
            </w:pPr>
            <w:r>
              <w:rPr/>
              <w:t> </w:t>
            </w:r>
          </w:p>
        </w:tc>
        <w:tc>
          <w:tcPr>
            <w:tcW w:w="78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Applicability of Article</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b/>
              </w:rPr>
            </w:pPr>
            <w:r>
              <w:rPr>
                <w:b/>
              </w:rPr>
              <w:t>ARTICLE TWELVE</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b/>
              </w:rPr>
            </w:pPr>
            <w:r>
              <w:rPr>
                <w:b/>
              </w:rPr>
              <w:t>MISCELLANEOUS</w:t>
            </w:r>
          </w:p>
        </w:tc>
        <w:tc>
          <w:tcPr>
            <w:tcW w:w="63" w:type="dxa"/>
            <w:tcBorders/>
          </w:tcPr>
          <w:p>
            <w:pPr>
              <w:pStyle w:val="TableContents"/>
              <w:bidi w:val="0"/>
              <w:spacing w:before="0" w:after="0"/>
              <w:jc w:val="left"/>
              <w:rPr/>
            </w:pPr>
            <w:r>
              <w:rPr/>
              <w:t> </w:t>
            </w:r>
          </w:p>
        </w:tc>
      </w:tr>
      <w:tr>
        <w:trPr>
          <w:trHeight w:val="120" w:hRule="atLeast"/>
        </w:trPr>
        <w:tc>
          <w:tcPr>
            <w:tcW w:w="1678" w:type="dxa"/>
            <w:tcBorders/>
            <w:vAlign w:val="center"/>
          </w:tcPr>
          <w:p>
            <w:pPr>
              <w:pStyle w:val="TableContents"/>
              <w:bidi w:val="0"/>
              <w:spacing w:before="0" w:after="283"/>
              <w:jc w:val="left"/>
              <w:rPr>
                <w:sz w:val="4"/>
                <w:szCs w:val="4"/>
              </w:rPr>
            </w:pPr>
            <w:r>
              <w:rPr>
                <w:sz w:val="4"/>
                <w:szCs w:val="4"/>
              </w:rPr>
            </w:r>
          </w:p>
        </w:tc>
        <w:tc>
          <w:tcPr>
            <w:tcW w:w="7981"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16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12.01</w:t>
            </w:r>
          </w:p>
        </w:tc>
        <w:tc>
          <w:tcPr>
            <w:tcW w:w="122" w:type="dxa"/>
            <w:tcBorders/>
            <w:vAlign w:val="bottom"/>
          </w:tcPr>
          <w:p>
            <w:pPr>
              <w:pStyle w:val="TableContents"/>
              <w:bidi w:val="0"/>
              <w:spacing w:before="0" w:after="283"/>
              <w:jc w:val="left"/>
              <w:rPr/>
            </w:pPr>
            <w:r>
              <w:rPr/>
              <w:t> </w:t>
            </w:r>
          </w:p>
        </w:tc>
        <w:tc>
          <w:tcPr>
            <w:tcW w:w="78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Trust Indenture Act Controls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rHeight w:val="120" w:hRule="atLeast"/>
        </w:trPr>
        <w:tc>
          <w:tcPr>
            <w:tcW w:w="1678" w:type="dxa"/>
            <w:tcBorders/>
            <w:vAlign w:val="center"/>
          </w:tcPr>
          <w:p>
            <w:pPr>
              <w:pStyle w:val="TableContents"/>
              <w:bidi w:val="0"/>
              <w:spacing w:before="0" w:after="283"/>
              <w:jc w:val="left"/>
              <w:rPr>
                <w:sz w:val="4"/>
                <w:szCs w:val="4"/>
              </w:rPr>
            </w:pPr>
            <w:r>
              <w:rPr>
                <w:sz w:val="4"/>
                <w:szCs w:val="4"/>
              </w:rPr>
            </w:r>
          </w:p>
        </w:tc>
        <w:tc>
          <w:tcPr>
            <w:tcW w:w="7981"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16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12.02</w:t>
            </w:r>
          </w:p>
        </w:tc>
        <w:tc>
          <w:tcPr>
            <w:tcW w:w="122" w:type="dxa"/>
            <w:tcBorders/>
            <w:vAlign w:val="bottom"/>
          </w:tcPr>
          <w:p>
            <w:pPr>
              <w:pStyle w:val="TableContents"/>
              <w:bidi w:val="0"/>
              <w:spacing w:before="0" w:after="283"/>
              <w:jc w:val="left"/>
              <w:rPr/>
            </w:pPr>
            <w:r>
              <w:rPr/>
              <w:t> </w:t>
            </w:r>
          </w:p>
        </w:tc>
        <w:tc>
          <w:tcPr>
            <w:tcW w:w="78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Notices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rHeight w:val="120" w:hRule="atLeast"/>
        </w:trPr>
        <w:tc>
          <w:tcPr>
            <w:tcW w:w="1678" w:type="dxa"/>
            <w:tcBorders/>
            <w:vAlign w:val="center"/>
          </w:tcPr>
          <w:p>
            <w:pPr>
              <w:pStyle w:val="TableContents"/>
              <w:bidi w:val="0"/>
              <w:spacing w:before="0" w:after="283"/>
              <w:jc w:val="left"/>
              <w:rPr>
                <w:sz w:val="4"/>
                <w:szCs w:val="4"/>
              </w:rPr>
            </w:pPr>
            <w:r>
              <w:rPr>
                <w:sz w:val="4"/>
                <w:szCs w:val="4"/>
              </w:rPr>
            </w:r>
          </w:p>
        </w:tc>
        <w:tc>
          <w:tcPr>
            <w:tcW w:w="7981"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16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12.03</w:t>
            </w:r>
          </w:p>
        </w:tc>
        <w:tc>
          <w:tcPr>
            <w:tcW w:w="122" w:type="dxa"/>
            <w:tcBorders/>
            <w:vAlign w:val="bottom"/>
          </w:tcPr>
          <w:p>
            <w:pPr>
              <w:pStyle w:val="TableContents"/>
              <w:bidi w:val="0"/>
              <w:spacing w:before="0" w:after="283"/>
              <w:jc w:val="left"/>
              <w:rPr/>
            </w:pPr>
            <w:r>
              <w:rPr/>
              <w:t> </w:t>
            </w:r>
          </w:p>
        </w:tc>
        <w:tc>
          <w:tcPr>
            <w:tcW w:w="78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Communications by Holders with Other Holders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rHeight w:val="120" w:hRule="atLeast"/>
        </w:trPr>
        <w:tc>
          <w:tcPr>
            <w:tcW w:w="1678" w:type="dxa"/>
            <w:tcBorders/>
            <w:vAlign w:val="center"/>
          </w:tcPr>
          <w:p>
            <w:pPr>
              <w:pStyle w:val="TableContents"/>
              <w:bidi w:val="0"/>
              <w:spacing w:before="0" w:after="283"/>
              <w:jc w:val="left"/>
              <w:rPr>
                <w:sz w:val="4"/>
                <w:szCs w:val="4"/>
              </w:rPr>
            </w:pPr>
            <w:r>
              <w:rPr>
                <w:sz w:val="4"/>
                <w:szCs w:val="4"/>
              </w:rPr>
            </w:r>
          </w:p>
        </w:tc>
        <w:tc>
          <w:tcPr>
            <w:tcW w:w="7981"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16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12.04</w:t>
            </w:r>
          </w:p>
        </w:tc>
        <w:tc>
          <w:tcPr>
            <w:tcW w:w="122" w:type="dxa"/>
            <w:tcBorders/>
            <w:vAlign w:val="bottom"/>
          </w:tcPr>
          <w:p>
            <w:pPr>
              <w:pStyle w:val="TableContents"/>
              <w:bidi w:val="0"/>
              <w:spacing w:before="0" w:after="283"/>
              <w:jc w:val="left"/>
              <w:rPr/>
            </w:pPr>
            <w:r>
              <w:rPr/>
              <w:t> </w:t>
            </w:r>
          </w:p>
        </w:tc>
        <w:tc>
          <w:tcPr>
            <w:tcW w:w="78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Certificate and Opinion as to Conditions Precedent</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rHeight w:val="120" w:hRule="atLeast"/>
        </w:trPr>
        <w:tc>
          <w:tcPr>
            <w:tcW w:w="1678" w:type="dxa"/>
            <w:tcBorders/>
            <w:vAlign w:val="center"/>
          </w:tcPr>
          <w:p>
            <w:pPr>
              <w:pStyle w:val="TableContents"/>
              <w:bidi w:val="0"/>
              <w:spacing w:before="0" w:after="283"/>
              <w:jc w:val="left"/>
              <w:rPr>
                <w:sz w:val="4"/>
                <w:szCs w:val="4"/>
              </w:rPr>
            </w:pPr>
            <w:r>
              <w:rPr>
                <w:sz w:val="4"/>
                <w:szCs w:val="4"/>
              </w:rPr>
            </w:r>
          </w:p>
        </w:tc>
        <w:tc>
          <w:tcPr>
            <w:tcW w:w="7981"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16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12.05</w:t>
            </w:r>
          </w:p>
        </w:tc>
        <w:tc>
          <w:tcPr>
            <w:tcW w:w="122" w:type="dxa"/>
            <w:tcBorders/>
            <w:vAlign w:val="bottom"/>
          </w:tcPr>
          <w:p>
            <w:pPr>
              <w:pStyle w:val="TableContents"/>
              <w:bidi w:val="0"/>
              <w:spacing w:before="0" w:after="283"/>
              <w:jc w:val="left"/>
              <w:rPr/>
            </w:pPr>
            <w:r>
              <w:rPr/>
              <w:t> </w:t>
            </w:r>
          </w:p>
        </w:tc>
        <w:tc>
          <w:tcPr>
            <w:tcW w:w="78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Statements Required in Certificate or Opinion</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rHeight w:val="120" w:hRule="atLeast"/>
        </w:trPr>
        <w:tc>
          <w:tcPr>
            <w:tcW w:w="1678" w:type="dxa"/>
            <w:tcBorders/>
            <w:vAlign w:val="center"/>
          </w:tcPr>
          <w:p>
            <w:pPr>
              <w:pStyle w:val="TableContents"/>
              <w:bidi w:val="0"/>
              <w:spacing w:before="0" w:after="283"/>
              <w:jc w:val="left"/>
              <w:rPr>
                <w:sz w:val="4"/>
                <w:szCs w:val="4"/>
              </w:rPr>
            </w:pPr>
            <w:r>
              <w:rPr>
                <w:sz w:val="4"/>
                <w:szCs w:val="4"/>
              </w:rPr>
            </w:r>
          </w:p>
        </w:tc>
        <w:tc>
          <w:tcPr>
            <w:tcW w:w="7981"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16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12.06</w:t>
            </w:r>
          </w:p>
        </w:tc>
        <w:tc>
          <w:tcPr>
            <w:tcW w:w="122" w:type="dxa"/>
            <w:tcBorders/>
            <w:vAlign w:val="bottom"/>
          </w:tcPr>
          <w:p>
            <w:pPr>
              <w:pStyle w:val="TableContents"/>
              <w:bidi w:val="0"/>
              <w:spacing w:before="0" w:after="283"/>
              <w:jc w:val="left"/>
              <w:rPr/>
            </w:pPr>
            <w:r>
              <w:rPr/>
              <w:t> </w:t>
            </w:r>
          </w:p>
        </w:tc>
        <w:tc>
          <w:tcPr>
            <w:tcW w:w="78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Rules by Trustee and Agents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rHeight w:val="120" w:hRule="atLeast"/>
        </w:trPr>
        <w:tc>
          <w:tcPr>
            <w:tcW w:w="1678" w:type="dxa"/>
            <w:tcBorders/>
            <w:vAlign w:val="center"/>
          </w:tcPr>
          <w:p>
            <w:pPr>
              <w:pStyle w:val="TableContents"/>
              <w:bidi w:val="0"/>
              <w:spacing w:before="0" w:after="283"/>
              <w:jc w:val="left"/>
              <w:rPr>
                <w:sz w:val="4"/>
                <w:szCs w:val="4"/>
              </w:rPr>
            </w:pPr>
            <w:r>
              <w:rPr>
                <w:sz w:val="4"/>
                <w:szCs w:val="4"/>
              </w:rPr>
            </w:r>
          </w:p>
        </w:tc>
        <w:tc>
          <w:tcPr>
            <w:tcW w:w="7981"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16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12.07</w:t>
            </w:r>
          </w:p>
        </w:tc>
        <w:tc>
          <w:tcPr>
            <w:tcW w:w="122" w:type="dxa"/>
            <w:tcBorders/>
            <w:vAlign w:val="bottom"/>
          </w:tcPr>
          <w:p>
            <w:pPr>
              <w:pStyle w:val="TableContents"/>
              <w:bidi w:val="0"/>
              <w:spacing w:before="0" w:after="283"/>
              <w:jc w:val="left"/>
              <w:rPr/>
            </w:pPr>
            <w:r>
              <w:rPr/>
              <w:t> </w:t>
            </w:r>
          </w:p>
        </w:tc>
        <w:tc>
          <w:tcPr>
            <w:tcW w:w="78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Legal Holidays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rHeight w:val="120" w:hRule="atLeast"/>
        </w:trPr>
        <w:tc>
          <w:tcPr>
            <w:tcW w:w="1678" w:type="dxa"/>
            <w:tcBorders/>
            <w:vAlign w:val="center"/>
          </w:tcPr>
          <w:p>
            <w:pPr>
              <w:pStyle w:val="TableContents"/>
              <w:bidi w:val="0"/>
              <w:spacing w:before="0" w:after="283"/>
              <w:jc w:val="left"/>
              <w:rPr>
                <w:sz w:val="4"/>
                <w:szCs w:val="4"/>
              </w:rPr>
            </w:pPr>
            <w:r>
              <w:rPr>
                <w:sz w:val="4"/>
                <w:szCs w:val="4"/>
              </w:rPr>
            </w:r>
          </w:p>
        </w:tc>
        <w:tc>
          <w:tcPr>
            <w:tcW w:w="7981"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16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12.08</w:t>
            </w:r>
          </w:p>
        </w:tc>
        <w:tc>
          <w:tcPr>
            <w:tcW w:w="122" w:type="dxa"/>
            <w:tcBorders/>
            <w:vAlign w:val="bottom"/>
          </w:tcPr>
          <w:p>
            <w:pPr>
              <w:pStyle w:val="TableContents"/>
              <w:bidi w:val="0"/>
              <w:spacing w:before="0" w:after="283"/>
              <w:jc w:val="left"/>
              <w:rPr/>
            </w:pPr>
            <w:r>
              <w:rPr/>
              <w:t> </w:t>
            </w:r>
          </w:p>
        </w:tc>
        <w:tc>
          <w:tcPr>
            <w:tcW w:w="78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Governing Law</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rHeight w:val="120" w:hRule="atLeast"/>
        </w:trPr>
        <w:tc>
          <w:tcPr>
            <w:tcW w:w="1678" w:type="dxa"/>
            <w:tcBorders/>
            <w:vAlign w:val="center"/>
          </w:tcPr>
          <w:p>
            <w:pPr>
              <w:pStyle w:val="TableContents"/>
              <w:bidi w:val="0"/>
              <w:spacing w:before="0" w:after="283"/>
              <w:jc w:val="left"/>
              <w:rPr>
                <w:sz w:val="4"/>
                <w:szCs w:val="4"/>
              </w:rPr>
            </w:pPr>
            <w:r>
              <w:rPr>
                <w:sz w:val="4"/>
                <w:szCs w:val="4"/>
              </w:rPr>
            </w:r>
          </w:p>
        </w:tc>
        <w:tc>
          <w:tcPr>
            <w:tcW w:w="7981"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16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12.09</w:t>
            </w:r>
          </w:p>
        </w:tc>
        <w:tc>
          <w:tcPr>
            <w:tcW w:w="122" w:type="dxa"/>
            <w:tcBorders/>
            <w:vAlign w:val="bottom"/>
          </w:tcPr>
          <w:p>
            <w:pPr>
              <w:pStyle w:val="TableContents"/>
              <w:bidi w:val="0"/>
              <w:spacing w:before="0" w:after="283"/>
              <w:jc w:val="left"/>
              <w:rPr/>
            </w:pPr>
            <w:r>
              <w:rPr/>
              <w:t> </w:t>
            </w:r>
          </w:p>
        </w:tc>
        <w:tc>
          <w:tcPr>
            <w:tcW w:w="78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No Adverse Interpretation of Other Agreements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rHeight w:val="120" w:hRule="atLeast"/>
        </w:trPr>
        <w:tc>
          <w:tcPr>
            <w:tcW w:w="1678" w:type="dxa"/>
            <w:tcBorders/>
            <w:vAlign w:val="center"/>
          </w:tcPr>
          <w:p>
            <w:pPr>
              <w:pStyle w:val="TableContents"/>
              <w:bidi w:val="0"/>
              <w:spacing w:before="0" w:after="283"/>
              <w:jc w:val="left"/>
              <w:rPr>
                <w:sz w:val="4"/>
                <w:szCs w:val="4"/>
              </w:rPr>
            </w:pPr>
            <w:r>
              <w:rPr>
                <w:sz w:val="4"/>
                <w:szCs w:val="4"/>
              </w:rPr>
            </w:r>
          </w:p>
        </w:tc>
        <w:tc>
          <w:tcPr>
            <w:tcW w:w="7981"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16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12.10</w:t>
            </w:r>
          </w:p>
        </w:tc>
        <w:tc>
          <w:tcPr>
            <w:tcW w:w="122" w:type="dxa"/>
            <w:tcBorders/>
            <w:vAlign w:val="bottom"/>
          </w:tcPr>
          <w:p>
            <w:pPr>
              <w:pStyle w:val="TableContents"/>
              <w:bidi w:val="0"/>
              <w:spacing w:before="0" w:after="283"/>
              <w:jc w:val="left"/>
              <w:rPr/>
            </w:pPr>
            <w:r>
              <w:rPr/>
              <w:t> </w:t>
            </w:r>
          </w:p>
        </w:tc>
        <w:tc>
          <w:tcPr>
            <w:tcW w:w="78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No Recourse Against Others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rHeight w:val="120" w:hRule="atLeast"/>
        </w:trPr>
        <w:tc>
          <w:tcPr>
            <w:tcW w:w="1678" w:type="dxa"/>
            <w:tcBorders/>
            <w:vAlign w:val="center"/>
          </w:tcPr>
          <w:p>
            <w:pPr>
              <w:pStyle w:val="TableContents"/>
              <w:bidi w:val="0"/>
              <w:spacing w:before="0" w:after="283"/>
              <w:jc w:val="left"/>
              <w:rPr>
                <w:sz w:val="4"/>
                <w:szCs w:val="4"/>
              </w:rPr>
            </w:pPr>
            <w:r>
              <w:rPr>
                <w:sz w:val="4"/>
                <w:szCs w:val="4"/>
              </w:rPr>
            </w:r>
          </w:p>
        </w:tc>
        <w:tc>
          <w:tcPr>
            <w:tcW w:w="7981"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16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12.11</w:t>
            </w:r>
          </w:p>
        </w:tc>
        <w:tc>
          <w:tcPr>
            <w:tcW w:w="122" w:type="dxa"/>
            <w:tcBorders/>
            <w:vAlign w:val="bottom"/>
          </w:tcPr>
          <w:p>
            <w:pPr>
              <w:pStyle w:val="TableContents"/>
              <w:bidi w:val="0"/>
              <w:spacing w:before="0" w:after="283"/>
              <w:jc w:val="left"/>
              <w:rPr/>
            </w:pPr>
            <w:r>
              <w:rPr/>
              <w:t> </w:t>
            </w:r>
          </w:p>
        </w:tc>
        <w:tc>
          <w:tcPr>
            <w:tcW w:w="78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Successors and Assigns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rHeight w:val="120" w:hRule="atLeast"/>
        </w:trPr>
        <w:tc>
          <w:tcPr>
            <w:tcW w:w="1678" w:type="dxa"/>
            <w:tcBorders/>
            <w:vAlign w:val="center"/>
          </w:tcPr>
          <w:p>
            <w:pPr>
              <w:pStyle w:val="TableContents"/>
              <w:bidi w:val="0"/>
              <w:spacing w:before="0" w:after="283"/>
              <w:jc w:val="left"/>
              <w:rPr>
                <w:sz w:val="4"/>
                <w:szCs w:val="4"/>
              </w:rPr>
            </w:pPr>
            <w:r>
              <w:rPr>
                <w:sz w:val="4"/>
                <w:szCs w:val="4"/>
              </w:rPr>
            </w:r>
          </w:p>
        </w:tc>
        <w:tc>
          <w:tcPr>
            <w:tcW w:w="7981"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16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12.12</w:t>
            </w:r>
          </w:p>
        </w:tc>
        <w:tc>
          <w:tcPr>
            <w:tcW w:w="122" w:type="dxa"/>
            <w:tcBorders/>
            <w:vAlign w:val="bottom"/>
          </w:tcPr>
          <w:p>
            <w:pPr>
              <w:pStyle w:val="TableContents"/>
              <w:bidi w:val="0"/>
              <w:spacing w:before="0" w:after="283"/>
              <w:jc w:val="left"/>
              <w:rPr/>
            </w:pPr>
            <w:r>
              <w:rPr/>
              <w:t> </w:t>
            </w:r>
          </w:p>
        </w:tc>
        <w:tc>
          <w:tcPr>
            <w:tcW w:w="78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Duplicate Originals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rHeight w:val="120" w:hRule="atLeast"/>
        </w:trPr>
        <w:tc>
          <w:tcPr>
            <w:tcW w:w="1678" w:type="dxa"/>
            <w:tcBorders/>
            <w:vAlign w:val="center"/>
          </w:tcPr>
          <w:p>
            <w:pPr>
              <w:pStyle w:val="TableContents"/>
              <w:bidi w:val="0"/>
              <w:spacing w:before="0" w:after="283"/>
              <w:jc w:val="left"/>
              <w:rPr>
                <w:sz w:val="4"/>
                <w:szCs w:val="4"/>
              </w:rPr>
            </w:pPr>
            <w:r>
              <w:rPr>
                <w:sz w:val="4"/>
                <w:szCs w:val="4"/>
              </w:rPr>
            </w:r>
          </w:p>
        </w:tc>
        <w:tc>
          <w:tcPr>
            <w:tcW w:w="7981"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16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12.13</w:t>
            </w:r>
          </w:p>
        </w:tc>
        <w:tc>
          <w:tcPr>
            <w:tcW w:w="122" w:type="dxa"/>
            <w:tcBorders/>
            <w:vAlign w:val="bottom"/>
          </w:tcPr>
          <w:p>
            <w:pPr>
              <w:pStyle w:val="TableContents"/>
              <w:bidi w:val="0"/>
              <w:spacing w:before="0" w:after="283"/>
              <w:jc w:val="left"/>
              <w:rPr/>
            </w:pPr>
            <w:r>
              <w:rPr/>
              <w:t> </w:t>
            </w:r>
          </w:p>
        </w:tc>
        <w:tc>
          <w:tcPr>
            <w:tcW w:w="78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Severability</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rHeight w:val="120" w:hRule="atLeast"/>
        </w:trPr>
        <w:tc>
          <w:tcPr>
            <w:tcW w:w="1678" w:type="dxa"/>
            <w:tcBorders/>
            <w:vAlign w:val="center"/>
          </w:tcPr>
          <w:p>
            <w:pPr>
              <w:pStyle w:val="TableContents"/>
              <w:bidi w:val="0"/>
              <w:spacing w:before="0" w:after="283"/>
              <w:jc w:val="left"/>
              <w:rPr>
                <w:sz w:val="4"/>
                <w:szCs w:val="4"/>
              </w:rPr>
            </w:pPr>
            <w:r>
              <w:rPr>
                <w:sz w:val="4"/>
                <w:szCs w:val="4"/>
              </w:rPr>
            </w:r>
          </w:p>
        </w:tc>
        <w:tc>
          <w:tcPr>
            <w:tcW w:w="7981"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16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12.14</w:t>
            </w:r>
          </w:p>
        </w:tc>
        <w:tc>
          <w:tcPr>
            <w:tcW w:w="122" w:type="dxa"/>
            <w:tcBorders/>
            <w:vAlign w:val="bottom"/>
          </w:tcPr>
          <w:p>
            <w:pPr>
              <w:pStyle w:val="TableContents"/>
              <w:bidi w:val="0"/>
              <w:spacing w:before="0" w:after="283"/>
              <w:jc w:val="left"/>
              <w:rPr/>
            </w:pPr>
            <w:r>
              <w:rPr/>
              <w:t> </w:t>
            </w:r>
          </w:p>
        </w:tc>
        <w:tc>
          <w:tcPr>
            <w:tcW w:w="78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Waiver of Jury Trial</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rHeight w:val="120" w:hRule="atLeast"/>
        </w:trPr>
        <w:tc>
          <w:tcPr>
            <w:tcW w:w="9659" w:type="dxa"/>
            <w:gridSpan w:val="3"/>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9659"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SIGNATURES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659" w:type="dxa"/>
            <w:gridSpan w:val="3"/>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9659"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A – Form of Security</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INDENTURE dated as of  , 20 , (the “</w:t>
      </w:r>
      <w:r>
        <w:rPr>
          <w:rFonts w:ascii="Times New Roman" w:hAnsi="Times New Roman"/>
          <w:b/>
          <w:sz w:val="20"/>
        </w:rPr>
        <w:t>Base Indenture</w:t>
      </w:r>
      <w:r>
        <w:rPr>
          <w:rFonts w:ascii="Times New Roman" w:hAnsi="Times New Roman"/>
          <w:sz w:val="20"/>
        </w:rPr>
        <w:t xml:space="preserve">”), by and among </w:t>
      </w:r>
      <w:r>
        <w:rPr>
          <w:rFonts w:ascii="Times New Roman" w:hAnsi="Times New Roman"/>
          <w:b/>
          <w:sz w:val="20"/>
        </w:rPr>
        <w:t>DAMORA THERAPEUTICS, INC.</w:t>
      </w:r>
      <w:r>
        <w:rPr>
          <w:rFonts w:ascii="Times New Roman" w:hAnsi="Times New Roman"/>
          <w:sz w:val="20"/>
        </w:rPr>
        <w:t>, a Cayman Islands exempted company (the “</w:t>
      </w:r>
      <w:r>
        <w:rPr>
          <w:rFonts w:ascii="Times New Roman" w:hAnsi="Times New Roman"/>
          <w:b/>
          <w:sz w:val="20"/>
        </w:rPr>
        <w:t>Company</w:t>
      </w:r>
      <w:r>
        <w:rPr>
          <w:rFonts w:ascii="Times New Roman" w:hAnsi="Times New Roman"/>
          <w:sz w:val="20"/>
        </w:rPr>
        <w:t xml:space="preserve">”) and </w:t>
      </w:r>
      <w:r>
        <w:rPr>
          <w:rFonts w:ascii="Times New Roman" w:hAnsi="Times New Roman"/>
          <w:b/>
          <w:sz w:val="20"/>
        </w:rPr>
        <w:t>[ ]</w:t>
      </w:r>
      <w:r>
        <w:rPr>
          <w:rFonts w:ascii="Times New Roman" w:hAnsi="Times New Roman"/>
          <w:sz w:val="20"/>
        </w:rPr>
        <w:t>, as trustee (the “</w:t>
      </w:r>
      <w:r>
        <w:rPr>
          <w:rFonts w:ascii="Times New Roman" w:hAnsi="Times New Roman"/>
          <w:b/>
          <w:sz w:val="20"/>
        </w:rPr>
        <w:t>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party agrees as follows for the benefit of the other party and for the equal and ratable benefit of the Holders of the Company’s debt securities issued under this Base Indenture: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ONE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AND INCORPORATION BY REFERENCE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1.01 </w:t>
      </w:r>
      <w:r>
        <w:rPr>
          <w:rFonts w:ascii="Times New Roman" w:hAnsi="Times New Roman"/>
          <w:b/>
          <w:sz w:val="20"/>
          <w:u w:val="single"/>
        </w:rPr>
        <w:t>Definitions.</w:t>
      </w:r>
      <w:r>
        <w:rPr>
          <w:rFonts w:ascii="Times New Roman" w:hAnsi="Times New Roman"/>
          <w:b/>
          <w:sz w:val="20"/>
        </w:rPr>
        <w:t xml:space="preserve"> </w:t>
      </w:r>
    </w:p>
    <w:p>
      <w:pPr>
        <w:pStyle w:val="TextBody"/>
        <w:bidi w:val="0"/>
        <w:spacing w:before="120" w:after="0"/>
        <w:jc w:val="left"/>
        <w:rPr/>
      </w:pPr>
      <w:r>
        <w:rPr/>
        <w:t>“</w:t>
      </w:r>
      <w:r>
        <w:rPr>
          <w:rFonts w:ascii="Times New Roman" w:hAnsi="Times New Roman"/>
          <w:b/>
          <w:sz w:val="20"/>
        </w:rPr>
        <w:t>Affiliate</w:t>
      </w:r>
      <w:r>
        <w:rPr>
          <w:rFonts w:ascii="Times New Roman" w:hAnsi="Times New Roman"/>
          <w:sz w:val="20"/>
        </w:rPr>
        <w:t xml:space="preserve">” means, when used with reference to a specified person, any Person directly or indirectly controlling or controlled by or under direct or indirect common control with the Person specified. </w:t>
      </w:r>
    </w:p>
    <w:p>
      <w:pPr>
        <w:pStyle w:val="TextBody"/>
        <w:bidi w:val="0"/>
        <w:spacing w:before="240" w:after="0"/>
        <w:jc w:val="left"/>
        <w:rPr/>
      </w:pPr>
      <w:r>
        <w:rPr/>
        <w:t>“</w:t>
      </w:r>
      <w:r>
        <w:rPr>
          <w:rFonts w:ascii="Times New Roman" w:hAnsi="Times New Roman"/>
          <w:b/>
          <w:sz w:val="20"/>
        </w:rPr>
        <w:t>Agent</w:t>
      </w:r>
      <w:r>
        <w:rPr>
          <w:rFonts w:ascii="Times New Roman" w:hAnsi="Times New Roman"/>
          <w:sz w:val="20"/>
        </w:rPr>
        <w:t xml:space="preserve">” means any Registrar, Paying Agent or co-Registrar or agent for service of notices and demands. </w:t>
      </w:r>
    </w:p>
    <w:p>
      <w:pPr>
        <w:pStyle w:val="TextBody"/>
        <w:bidi w:val="0"/>
        <w:spacing w:before="240" w:after="0"/>
        <w:jc w:val="left"/>
        <w:rPr/>
      </w:pPr>
      <w:r>
        <w:rPr/>
        <w:t>“</w:t>
      </w:r>
      <w:r>
        <w:rPr>
          <w:rFonts w:ascii="Times New Roman" w:hAnsi="Times New Roman"/>
          <w:b/>
          <w:sz w:val="20"/>
        </w:rPr>
        <w:t>Authorizing Resolution</w:t>
      </w:r>
      <w:r>
        <w:rPr>
          <w:rFonts w:ascii="Times New Roman" w:hAnsi="Times New Roman"/>
          <w:sz w:val="20"/>
        </w:rPr>
        <w:t xml:space="preserve">” means a resolution adopted by the Board of Directors or by an Officer or committee of Officers pursuant to Board delegation authorizing a Series of Securities. </w:t>
      </w:r>
    </w:p>
    <w:p>
      <w:pPr>
        <w:pStyle w:val="TextBody"/>
        <w:bidi w:val="0"/>
        <w:spacing w:before="240" w:after="0"/>
        <w:jc w:val="left"/>
        <w:rPr/>
      </w:pPr>
      <w:r>
        <w:rPr/>
        <w:t>“</w:t>
      </w:r>
      <w:r>
        <w:rPr>
          <w:rFonts w:ascii="Times New Roman" w:hAnsi="Times New Roman"/>
          <w:b/>
          <w:sz w:val="20"/>
        </w:rPr>
        <w:t>Bankruptcy Law</w:t>
      </w:r>
      <w:r>
        <w:rPr>
          <w:rFonts w:ascii="Times New Roman" w:hAnsi="Times New Roman"/>
          <w:sz w:val="20"/>
        </w:rPr>
        <w:t xml:space="preserve">” means Title 11 of the United States Code, as amended, Part V of the Companies Act (as amended) of the Cayman Islands, the Companies Winding-Up Rules, 2018 of the Cayman Islands, the Insolvency Practitioner’s Regulations, 2018 of the Cayman Islands, and the Foreign Bankruptcy Proceedings (International Cooperation) Rules, 2018 of the Cayman Islands, each as amended from time to time. </w:t>
      </w:r>
    </w:p>
    <w:p>
      <w:pPr>
        <w:pStyle w:val="TextBody"/>
        <w:bidi w:val="0"/>
        <w:spacing w:before="240" w:after="0"/>
        <w:jc w:val="left"/>
        <w:rPr/>
      </w:pPr>
      <w:r>
        <w:rPr/>
        <w:t>“</w:t>
      </w:r>
      <w:r>
        <w:rPr>
          <w:rFonts w:ascii="Times New Roman" w:hAnsi="Times New Roman"/>
          <w:b/>
          <w:sz w:val="20"/>
        </w:rPr>
        <w:t>Board of Directors</w:t>
      </w:r>
      <w:r>
        <w:rPr>
          <w:rFonts w:ascii="Times New Roman" w:hAnsi="Times New Roman"/>
          <w:sz w:val="20"/>
        </w:rPr>
        <w:t xml:space="preserve">” means the Board of Directors of the Company or any duly authorized committee thereof. </w:t>
      </w:r>
    </w:p>
    <w:p>
      <w:pPr>
        <w:pStyle w:val="TextBody"/>
        <w:bidi w:val="0"/>
        <w:spacing w:before="240" w:after="0"/>
        <w:jc w:val="left"/>
        <w:rPr/>
      </w:pPr>
      <w:r>
        <w:rPr/>
        <w:t>“</w:t>
      </w:r>
      <w:r>
        <w:rPr>
          <w:rFonts w:ascii="Times New Roman" w:hAnsi="Times New Roman"/>
          <w:b/>
          <w:sz w:val="20"/>
        </w:rPr>
        <w:t>Capital Stock</w:t>
      </w:r>
      <w:r>
        <w:rPr>
          <w:rFonts w:ascii="Times New Roman" w:hAnsi="Times New Roman"/>
          <w:sz w:val="20"/>
        </w:rPr>
        <w:t xml:space="preserve">” means, with respect to any Person, any and all shares, interests, participations or other equivalents (however designated) of or in such Person’s capital stock or other equity interests. </w:t>
      </w:r>
    </w:p>
    <w:p>
      <w:pPr>
        <w:pStyle w:val="TextBody"/>
        <w:bidi w:val="0"/>
        <w:spacing w:before="240" w:after="0"/>
        <w:jc w:val="left"/>
        <w:rPr/>
      </w:pPr>
      <w:r>
        <w:rPr/>
        <w:t>“</w:t>
      </w:r>
      <w:r>
        <w:rPr>
          <w:rFonts w:ascii="Times New Roman" w:hAnsi="Times New Roman"/>
          <w:b/>
          <w:sz w:val="20"/>
        </w:rPr>
        <w:t>Company</w:t>
      </w:r>
      <w:r>
        <w:rPr>
          <w:rFonts w:ascii="Times New Roman" w:hAnsi="Times New Roman"/>
          <w:sz w:val="20"/>
        </w:rPr>
        <w:t xml:space="preserve">” means the party named as such in this Indenture until a successor replaces it pursuant to the Indenture and thereafter means the successor. </w:t>
      </w:r>
    </w:p>
    <w:p>
      <w:pPr>
        <w:pStyle w:val="TextBody"/>
        <w:bidi w:val="0"/>
        <w:spacing w:before="240" w:after="0"/>
        <w:jc w:val="left"/>
        <w:rPr/>
      </w:pPr>
      <w:r>
        <w:rPr/>
        <w:t>“</w:t>
      </w:r>
      <w:r>
        <w:rPr>
          <w:rFonts w:ascii="Times New Roman" w:hAnsi="Times New Roman"/>
          <w:b/>
          <w:sz w:val="20"/>
        </w:rPr>
        <w:t>control</w:t>
      </w:r>
      <w:r>
        <w:rPr>
          <w:rFonts w:ascii="Times New Roman" w:hAnsi="Times New Roman"/>
          <w:sz w:val="20"/>
        </w:rPr>
        <w:t>” means, when used with respect to any Person, the power to direct the management and policies of such Person, directly or indirectly, whether through the ownership of voting securities, by contract or otherwise; and the terms “</w:t>
      </w:r>
      <w:r>
        <w:rPr>
          <w:rFonts w:ascii="Times New Roman" w:hAnsi="Times New Roman"/>
          <w:sz w:val="20"/>
          <w:u w:val="single"/>
        </w:rPr>
        <w:t>controlling</w:t>
      </w:r>
      <w:r>
        <w:rPr>
          <w:rFonts w:ascii="Times New Roman" w:hAnsi="Times New Roman"/>
          <w:sz w:val="20"/>
        </w:rPr>
        <w:t>” and “</w:t>
      </w:r>
      <w:r>
        <w:rPr>
          <w:rFonts w:ascii="Times New Roman" w:hAnsi="Times New Roman"/>
          <w:sz w:val="20"/>
          <w:u w:val="single"/>
        </w:rPr>
        <w:t>controlled</w:t>
      </w:r>
      <w:r>
        <w:rPr>
          <w:rFonts w:ascii="Times New Roman" w:hAnsi="Times New Roman"/>
          <w:sz w:val="20"/>
        </w:rPr>
        <w:t xml:space="preserve">” have meanings correlative to the foregoing. </w:t>
      </w:r>
    </w:p>
    <w:p>
      <w:pPr>
        <w:pStyle w:val="TextBody"/>
        <w:bidi w:val="0"/>
        <w:spacing w:before="240" w:after="0"/>
        <w:jc w:val="left"/>
        <w:rPr/>
      </w:pPr>
      <w:r>
        <w:rPr/>
        <w:t>“</w:t>
      </w:r>
      <w:r>
        <w:rPr>
          <w:rFonts w:ascii="Times New Roman" w:hAnsi="Times New Roman"/>
          <w:b/>
          <w:sz w:val="20"/>
        </w:rPr>
        <w:t>Default</w:t>
      </w:r>
      <w:r>
        <w:rPr>
          <w:rFonts w:ascii="Times New Roman" w:hAnsi="Times New Roman"/>
          <w:sz w:val="20"/>
        </w:rPr>
        <w:t xml:space="preserve">” means any event, act or condition that is, or after notice or the passage of time or both would be, an Event of Default. </w:t>
      </w:r>
    </w:p>
    <w:p>
      <w:pPr>
        <w:pStyle w:val="TextBody"/>
        <w:bidi w:val="0"/>
        <w:spacing w:before="240" w:after="0"/>
        <w:jc w:val="left"/>
        <w:rPr/>
      </w:pPr>
      <w:r>
        <w:rPr/>
        <w:t>“</w:t>
      </w:r>
      <w:r>
        <w:rPr>
          <w:rFonts w:ascii="Times New Roman" w:hAnsi="Times New Roman"/>
          <w:b/>
          <w:sz w:val="20"/>
        </w:rPr>
        <w:t>Definitive Security</w:t>
      </w:r>
      <w:r>
        <w:rPr>
          <w:rFonts w:ascii="Times New Roman" w:hAnsi="Times New Roman"/>
          <w:sz w:val="20"/>
        </w:rPr>
        <w:t xml:space="preserve">” means a certificated Security registered in the name of the Securityholder thereof. </w:t>
      </w:r>
    </w:p>
    <w:p>
      <w:pPr>
        <w:pStyle w:val="TextBody"/>
        <w:bidi w:val="0"/>
        <w:spacing w:before="240" w:after="0"/>
        <w:jc w:val="left"/>
        <w:rPr/>
      </w:pPr>
      <w:r>
        <w:rPr/>
        <w:t>“</w:t>
      </w:r>
      <w:r>
        <w:rPr>
          <w:rFonts w:ascii="Times New Roman" w:hAnsi="Times New Roman"/>
          <w:b/>
          <w:sz w:val="20"/>
        </w:rPr>
        <w:t>Depositary</w:t>
      </w:r>
      <w:r>
        <w:rPr>
          <w:rFonts w:ascii="Times New Roman" w:hAnsi="Times New Roman"/>
          <w:sz w:val="20"/>
        </w:rPr>
        <w:t xml:space="preserve">” means, with respect to Securities of any Series which the Company shall determine will be issued in whole or in part as a Global Security, DTC, another clearing agency, or any successor registered as a clearing agency under the Exchange Act, and any other applicable U.S. or foreign statute or regulation, which, in each case, shall be designated by the Company pursuant to </w:t>
      </w:r>
      <w:r>
        <w:rPr>
          <w:rFonts w:ascii="Times New Roman" w:hAnsi="Times New Roman"/>
          <w:sz w:val="20"/>
          <w:u w:val="single"/>
        </w:rPr>
        <w:t>Section 2.01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Dollars</w:t>
      </w:r>
      <w:r>
        <w:rPr>
          <w:rFonts w:ascii="Times New Roman" w:hAnsi="Times New Roman"/>
          <w:sz w:val="20"/>
        </w:rPr>
        <w:t>” and “</w:t>
      </w:r>
      <w:r>
        <w:rPr>
          <w:rFonts w:ascii="Times New Roman" w:hAnsi="Times New Roman"/>
          <w:b/>
          <w:sz w:val="20"/>
        </w:rPr>
        <w:t>$</w:t>
      </w:r>
      <w:r>
        <w:rPr>
          <w:rFonts w:ascii="Times New Roman" w:hAnsi="Times New Roman"/>
          <w:sz w:val="20"/>
        </w:rPr>
        <w:t xml:space="preserve">” mean United States Dollars. </w:t>
      </w:r>
    </w:p>
    <w:p>
      <w:pPr>
        <w:pStyle w:val="TextBody"/>
        <w:bidi w:val="0"/>
        <w:spacing w:before="240" w:after="0"/>
        <w:jc w:val="left"/>
        <w:rPr/>
      </w:pPr>
      <w:r>
        <w:rPr/>
        <w:t>“</w:t>
      </w:r>
      <w:r>
        <w:rPr>
          <w:rFonts w:ascii="Times New Roman" w:hAnsi="Times New Roman"/>
          <w:b/>
          <w:sz w:val="20"/>
        </w:rPr>
        <w:t>DTC</w:t>
      </w:r>
      <w:r>
        <w:rPr>
          <w:rFonts w:ascii="Times New Roman" w:hAnsi="Times New Roman"/>
          <w:sz w:val="20"/>
        </w:rPr>
        <w:t xml:space="preserve">” means The Depository Trust Company, New York, New York. </w:t>
      </w:r>
    </w:p>
    <w:p>
      <w:pPr>
        <w:pStyle w:val="TextBody"/>
        <w:bidi w:val="0"/>
        <w:spacing w:before="240" w:after="0"/>
        <w:jc w:val="left"/>
        <w:rPr/>
      </w:pPr>
      <w:r>
        <w:rPr/>
        <w:t>“</w:t>
      </w:r>
      <w:r>
        <w:rPr>
          <w:rFonts w:ascii="Times New Roman" w:hAnsi="Times New Roman"/>
          <w:b/>
          <w:sz w:val="20"/>
        </w:rPr>
        <w:t>Exchange Act</w:t>
      </w:r>
      <w:r>
        <w:rPr>
          <w:rFonts w:ascii="Times New Roman" w:hAnsi="Times New Roman"/>
          <w:sz w:val="20"/>
        </w:rPr>
        <w:t xml:space="preserve">” means the Securities Exchange Act of 1934,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Foreign Currency</w:t>
      </w:r>
      <w:r>
        <w:rPr>
          <w:rFonts w:ascii="Times New Roman" w:hAnsi="Times New Roman"/>
          <w:sz w:val="20"/>
        </w:rPr>
        <w:t xml:space="preserve">” means any currency, currency unit or composite currency, including, without limitation, the Euro, issued by the government of one or more countries other than the United States of America or by any recognized confederation or association of such governments. </w:t>
      </w:r>
    </w:p>
    <w:p>
      <w:pPr>
        <w:pStyle w:val="TextBody"/>
        <w:bidi w:val="0"/>
        <w:spacing w:before="240" w:after="0"/>
        <w:jc w:val="left"/>
        <w:rPr/>
      </w:pPr>
      <w:r>
        <w:rPr/>
        <w:t>“</w:t>
      </w:r>
      <w:r>
        <w:rPr>
          <w:rFonts w:ascii="Times New Roman" w:hAnsi="Times New Roman"/>
          <w:b/>
          <w:sz w:val="20"/>
        </w:rPr>
        <w:t>GAAP</w:t>
      </w:r>
      <w:r>
        <w:rPr>
          <w:rFonts w:ascii="Times New Roman" w:hAnsi="Times New Roman"/>
          <w:sz w:val="20"/>
        </w:rPr>
        <w:t xml:space="preserve">” means generally accepted accounting principles set forth in the accounting standards codification of the Financial Accounting Standards Board or in such other statements by such or any other entity as may be approved by a significant segment of the accounting profession of the United States, as in effect on the date of this Base Indenture. </w:t>
      </w:r>
    </w:p>
    <w:p>
      <w:pPr>
        <w:pStyle w:val="TextBody"/>
        <w:bidi w:val="0"/>
        <w:spacing w:before="240" w:after="0"/>
        <w:jc w:val="left"/>
        <w:rPr/>
      </w:pPr>
      <w:r>
        <w:rPr/>
        <w:t>“</w:t>
      </w:r>
      <w:r>
        <w:rPr>
          <w:rFonts w:ascii="Times New Roman" w:hAnsi="Times New Roman"/>
          <w:b/>
          <w:sz w:val="20"/>
        </w:rPr>
        <w:t>Global Security</w:t>
      </w:r>
      <w:r>
        <w:rPr>
          <w:rFonts w:ascii="Times New Roman" w:hAnsi="Times New Roman"/>
          <w:sz w:val="20"/>
        </w:rPr>
        <w:t xml:space="preserve">” means, with respect to any Series of Securities, a Security executed by the Company and delivered by the Trustee to the Depositary or pursuant to the Depositary’s instruction, all in accordance with the Indenture, which shall be registered in the name of the Depositary or its nominee. </w:t>
      </w:r>
    </w:p>
    <w:p>
      <w:pPr>
        <w:pStyle w:val="TextBody"/>
        <w:bidi w:val="0"/>
        <w:spacing w:before="240" w:after="0"/>
        <w:jc w:val="left"/>
        <w:rPr/>
      </w:pPr>
      <w:r>
        <w:rPr/>
        <w:t>“</w:t>
      </w:r>
      <w:r>
        <w:rPr>
          <w:rFonts w:ascii="Times New Roman" w:hAnsi="Times New Roman"/>
          <w:b/>
          <w:sz w:val="20"/>
        </w:rPr>
        <w:t>Government Obligations</w:t>
      </w:r>
      <w:r>
        <w:rPr>
          <w:rFonts w:ascii="Times New Roman" w:hAnsi="Times New Roman"/>
          <w:sz w:val="20"/>
        </w:rPr>
        <w:t xml:space="preserve">” means securities which are (i) direct obligations of the United States or the other government or governments in the confederation which issued the Foreign Currency in which the principal of or any interest on the Security of the applicable Series shall be payable, in each case for the payment of which its full faith and credit is pledged or (ii) obligations of a Person controlled or supervised by and acting as an agency or instrumentality of the United States or such other government or governments, in each case the payment of which is unconditionally guaranteed as a full faith and credit obligation by the United States or such other government or governments, which, in either case are not callable or redeemable at the option of the issuer or issuers thereof, and shall also include a depositary receipt issued by a bank or trust company as custodian with respect to any such Government Obligations or a specific payment of interest on or principal of any such Government Obligation held by such custodian for the account of the holder of a depositary receipt; </w:t>
      </w:r>
      <w:r>
        <w:rPr>
          <w:rFonts w:ascii="Times New Roman" w:hAnsi="Times New Roman"/>
          <w:i/>
          <w:sz w:val="20"/>
        </w:rPr>
        <w:t>provided</w:t>
      </w:r>
      <w:r>
        <w:rPr>
          <w:rFonts w:ascii="Times New Roman" w:hAnsi="Times New Roman"/>
          <w:sz w:val="20"/>
        </w:rPr>
        <w:t xml:space="preserve"> that (except as required by law) such custodian is not authorized to make any deduction from the amount payable to the holder of such depositary receipt from any amount received by the custodian in respect of the Government Obligation or the specific payment of interest on or principal of the Government Obligation evidenced by such depositary receipt. </w:t>
      </w:r>
    </w:p>
    <w:p>
      <w:pPr>
        <w:pStyle w:val="TextBody"/>
        <w:bidi w:val="0"/>
        <w:spacing w:before="240" w:after="0"/>
        <w:jc w:val="left"/>
        <w:rPr/>
      </w:pPr>
      <w:r>
        <w:rPr/>
        <w:t>“</w:t>
      </w:r>
      <w:r>
        <w:rPr>
          <w:rFonts w:ascii="Times New Roman" w:hAnsi="Times New Roman"/>
          <w:b/>
          <w:sz w:val="20"/>
        </w:rPr>
        <w:t>Holder</w:t>
      </w:r>
      <w:r>
        <w:rPr>
          <w:rFonts w:ascii="Times New Roman" w:hAnsi="Times New Roman"/>
          <w:sz w:val="20"/>
        </w:rPr>
        <w:t>” or “</w:t>
      </w:r>
      <w:r>
        <w:rPr>
          <w:rFonts w:ascii="Times New Roman" w:hAnsi="Times New Roman"/>
          <w:b/>
          <w:sz w:val="20"/>
        </w:rPr>
        <w:t>Securityholder</w:t>
      </w:r>
      <w:r>
        <w:rPr>
          <w:rFonts w:ascii="Times New Roman" w:hAnsi="Times New Roman"/>
          <w:sz w:val="20"/>
        </w:rPr>
        <w:t xml:space="preserve">” means the Person in whose name a Security is registered on the Registrar’s books. </w:t>
      </w:r>
    </w:p>
    <w:p>
      <w:pPr>
        <w:pStyle w:val="TextBody"/>
        <w:bidi w:val="0"/>
        <w:spacing w:before="240" w:after="0"/>
        <w:jc w:val="left"/>
        <w:rPr/>
      </w:pPr>
      <w:r>
        <w:rPr/>
        <w:t>“</w:t>
      </w:r>
      <w:r>
        <w:rPr>
          <w:rFonts w:ascii="Times New Roman" w:hAnsi="Times New Roman"/>
          <w:b/>
          <w:sz w:val="20"/>
        </w:rPr>
        <w:t>Indenture</w:t>
      </w:r>
      <w:r>
        <w:rPr>
          <w:rFonts w:ascii="Times New Roman" w:hAnsi="Times New Roman"/>
          <w:sz w:val="20"/>
        </w:rPr>
        <w:t xml:space="preserve">” means this Base Indenture as amended or supplemented from time to time, including pursuant to any Authorizing Resolution or supplemental indenture pertaining to any Series, and including, for all purposes of this instrument and any such Authorizing Resolution or supplemental indenture, the provisions of the TIA that are deemed to be a part of and govern this Base Indenture and any such Authorizing Resolution or supplemental indenture, respectively. </w:t>
      </w:r>
    </w:p>
    <w:p>
      <w:pPr>
        <w:pStyle w:val="TextBody"/>
        <w:bidi w:val="0"/>
        <w:spacing w:before="240" w:after="0"/>
        <w:jc w:val="left"/>
        <w:rPr/>
      </w:pPr>
      <w:r>
        <w:rPr/>
        <w:t>“</w:t>
      </w:r>
      <w:r>
        <w:rPr>
          <w:rFonts w:ascii="Times New Roman" w:hAnsi="Times New Roman"/>
          <w:b/>
          <w:sz w:val="20"/>
        </w:rPr>
        <w:t>Issue Date</w:t>
      </w:r>
      <w:r>
        <w:rPr>
          <w:rFonts w:ascii="Times New Roman" w:hAnsi="Times New Roman"/>
          <w:sz w:val="20"/>
        </w:rPr>
        <w:t xml:space="preserve">” means, with respect to any Series of Securities, the date on which the Securities of such Series are originally issued under this Indenture. </w:t>
      </w:r>
    </w:p>
    <w:p>
      <w:pPr>
        <w:pStyle w:val="TextBody"/>
        <w:bidi w:val="0"/>
        <w:spacing w:before="240" w:after="0"/>
        <w:jc w:val="left"/>
        <w:rPr/>
      </w:pPr>
      <w:r>
        <w:rPr/>
        <w:t>“</w:t>
      </w:r>
      <w:r>
        <w:rPr>
          <w:rFonts w:ascii="Times New Roman" w:hAnsi="Times New Roman"/>
          <w:b/>
          <w:sz w:val="20"/>
        </w:rPr>
        <w:t>NYUCC</w:t>
      </w:r>
      <w:r>
        <w:rPr>
          <w:rFonts w:ascii="Times New Roman" w:hAnsi="Times New Roman"/>
          <w:sz w:val="20"/>
        </w:rPr>
        <w:t xml:space="preserve">” means the New York Uniform Commercial Code, as in effect from time to time. </w:t>
      </w:r>
    </w:p>
    <w:p>
      <w:pPr>
        <w:pStyle w:val="TextBody"/>
        <w:bidi w:val="0"/>
        <w:spacing w:before="240" w:after="0"/>
        <w:jc w:val="left"/>
        <w:rPr/>
      </w:pPr>
      <w:r>
        <w:rPr/>
        <w:t>“</w:t>
      </w:r>
      <w:r>
        <w:rPr>
          <w:rFonts w:ascii="Times New Roman" w:hAnsi="Times New Roman"/>
          <w:b/>
          <w:sz w:val="20"/>
        </w:rPr>
        <w:t>Officer</w:t>
      </w:r>
      <w:r>
        <w:rPr>
          <w:rFonts w:ascii="Times New Roman" w:hAnsi="Times New Roman"/>
          <w:sz w:val="20"/>
        </w:rPr>
        <w:t xml:space="preserve">” means the Chairman of the Board, the President, any Vice President, the Treasurer, the Controller, the Secretary of the Company, any director of the Company or any other formally appointed officer of the Company. </w:t>
      </w:r>
    </w:p>
    <w:p>
      <w:pPr>
        <w:pStyle w:val="TextBody"/>
        <w:bidi w:val="0"/>
        <w:spacing w:before="240" w:after="0"/>
        <w:jc w:val="left"/>
        <w:rPr/>
      </w:pPr>
      <w:r>
        <w:rPr/>
        <w:t>“</w:t>
      </w:r>
      <w:r>
        <w:rPr>
          <w:rFonts w:ascii="Times New Roman" w:hAnsi="Times New Roman"/>
          <w:b/>
          <w:sz w:val="20"/>
        </w:rPr>
        <w:t>Officers’ Certificate</w:t>
      </w:r>
      <w:r>
        <w:rPr>
          <w:rFonts w:ascii="Times New Roman" w:hAnsi="Times New Roman"/>
          <w:sz w:val="20"/>
        </w:rPr>
        <w:t xml:space="preserve">” means a certificate signed by two Officers or by an Officer and an Assistant Treasurer or an Assistant Secretary of the Company. </w:t>
      </w:r>
    </w:p>
    <w:p>
      <w:pPr>
        <w:pStyle w:val="TextBody"/>
        <w:bidi w:val="0"/>
        <w:spacing w:before="240" w:after="0"/>
        <w:jc w:val="left"/>
        <w:rPr/>
      </w:pPr>
      <w:r>
        <w:rPr/>
        <w:t>“</w:t>
      </w:r>
      <w:r>
        <w:rPr>
          <w:rFonts w:ascii="Times New Roman" w:hAnsi="Times New Roman"/>
          <w:b/>
          <w:sz w:val="20"/>
        </w:rPr>
        <w:t>Opinion of Counsel</w:t>
      </w:r>
      <w:r>
        <w:rPr>
          <w:rFonts w:ascii="Times New Roman" w:hAnsi="Times New Roman"/>
          <w:sz w:val="20"/>
        </w:rPr>
        <w:t xml:space="preserve">” means a written opinion, in form and substance reasonably satisfactory to the Trustee, from legal counsel. The counsel may be an employee of or counsel to the Company. Each such opinion shall include the statements provided for in Section 12.05 if and to the extent required by the provisions of such Section.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means any individual, corporation (including any exempted company), partnership (including any exempted limited partnership), limited liability company, joint venture, incorporated or unincorporated association, joint stock company, trust, unincorporated organization or government or any agency or political subdivision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principal</w:t>
      </w:r>
      <w:r>
        <w:rPr>
          <w:rFonts w:ascii="Times New Roman" w:hAnsi="Times New Roman"/>
          <w:sz w:val="20"/>
        </w:rPr>
        <w:t xml:space="preserve">” of a debt security means the principal of the security </w:t>
      </w:r>
      <w:r>
        <w:rPr>
          <w:rFonts w:ascii="Times New Roman" w:hAnsi="Times New Roman"/>
          <w:i/>
          <w:sz w:val="20"/>
        </w:rPr>
        <w:t>plus</w:t>
      </w:r>
      <w:r>
        <w:rPr>
          <w:rFonts w:ascii="Times New Roman" w:hAnsi="Times New Roman"/>
          <w:sz w:val="20"/>
        </w:rPr>
        <w:t xml:space="preserve">, when appropriate, the premium, if any, on the security. </w:t>
      </w:r>
    </w:p>
    <w:p>
      <w:pPr>
        <w:pStyle w:val="TextBody"/>
        <w:bidi w:val="0"/>
        <w:spacing w:before="240" w:after="0"/>
        <w:jc w:val="left"/>
        <w:rPr/>
      </w:pPr>
      <w:r>
        <w:rPr/>
        <w:t>“</w:t>
      </w:r>
      <w:r>
        <w:rPr>
          <w:rFonts w:ascii="Times New Roman" w:hAnsi="Times New Roman"/>
          <w:b/>
          <w:sz w:val="20"/>
        </w:rPr>
        <w:t>Property</w:t>
      </w:r>
      <w:r>
        <w:rPr>
          <w:rFonts w:ascii="Times New Roman" w:hAnsi="Times New Roman"/>
          <w:sz w:val="20"/>
        </w:rPr>
        <w:t xml:space="preserve">” of any Person means all types of real, personal, tangible, intangible or mixed property owned by such Person, whether or not included in the most recent consolidated balance sheet of such Person and its Subsidiaries under GAAP. </w:t>
      </w:r>
    </w:p>
    <w:p>
      <w:pPr>
        <w:pStyle w:val="TextBody"/>
        <w:bidi w:val="0"/>
        <w:spacing w:before="240" w:after="0"/>
        <w:jc w:val="left"/>
        <w:rPr/>
      </w:pPr>
      <w:r>
        <w:rPr/>
        <w:t>“</w:t>
      </w:r>
      <w:r>
        <w:rPr>
          <w:rFonts w:ascii="Times New Roman" w:hAnsi="Times New Roman"/>
          <w:b/>
          <w:sz w:val="20"/>
        </w:rPr>
        <w:t>SEC</w:t>
      </w:r>
      <w:r>
        <w:rPr>
          <w:rFonts w:ascii="Times New Roman" w:hAnsi="Times New Roman"/>
          <w:sz w:val="20"/>
        </w:rPr>
        <w:t xml:space="preserve">” means the Securities and Exchange Commission or any successor agency performing the duties now assigned to it under the TIA. </w:t>
      </w:r>
    </w:p>
    <w:p>
      <w:pPr>
        <w:pStyle w:val="TextBody"/>
        <w:bidi w:val="0"/>
        <w:spacing w:before="240" w:after="0"/>
        <w:jc w:val="left"/>
        <w:rPr/>
      </w:pPr>
      <w:r>
        <w:rPr/>
        <w:t>“</w:t>
      </w:r>
      <w:r>
        <w:rPr>
          <w:rFonts w:ascii="Times New Roman" w:hAnsi="Times New Roman"/>
          <w:b/>
          <w:sz w:val="20"/>
        </w:rPr>
        <w:t>Securities</w:t>
      </w:r>
      <w:r>
        <w:rPr>
          <w:rFonts w:ascii="Times New Roman" w:hAnsi="Times New Roman"/>
          <w:sz w:val="20"/>
        </w:rPr>
        <w:t xml:space="preserve">” means any Securities that are issued under this Base Indenture. </w:t>
      </w:r>
    </w:p>
    <w:p>
      <w:pPr>
        <w:pStyle w:val="TextBody"/>
        <w:bidi w:val="0"/>
        <w:spacing w:before="240" w:after="0"/>
        <w:jc w:val="left"/>
        <w:rPr/>
      </w:pPr>
      <w:r>
        <w:rPr/>
        <w:t>“</w:t>
      </w:r>
      <w:r>
        <w:rPr>
          <w:rFonts w:ascii="Times New Roman" w:hAnsi="Times New Roman"/>
          <w:b/>
          <w:sz w:val="20"/>
        </w:rPr>
        <w:t>Securities Act</w:t>
      </w:r>
      <w:r>
        <w:rPr>
          <w:rFonts w:ascii="Times New Roman" w:hAnsi="Times New Roman"/>
          <w:sz w:val="20"/>
        </w:rPr>
        <w:t xml:space="preserve">” means the Securities Act of 1933, as amended. </w:t>
      </w:r>
    </w:p>
    <w:p>
      <w:pPr>
        <w:pStyle w:val="TextBody"/>
        <w:bidi w:val="0"/>
        <w:spacing w:before="240" w:after="0"/>
        <w:jc w:val="left"/>
        <w:rPr/>
      </w:pPr>
      <w:r>
        <w:rPr/>
        <w:t>“</w:t>
      </w:r>
      <w:r>
        <w:rPr>
          <w:rFonts w:ascii="Times New Roman" w:hAnsi="Times New Roman"/>
          <w:b/>
          <w:sz w:val="20"/>
        </w:rPr>
        <w:t>Series</w:t>
      </w:r>
      <w:r>
        <w:rPr>
          <w:rFonts w:ascii="Times New Roman" w:hAnsi="Times New Roman"/>
          <w:sz w:val="20"/>
        </w:rPr>
        <w:t xml:space="preserve">” means a series of Securities established under this Base Indenture. </w:t>
      </w:r>
    </w:p>
    <w:p>
      <w:pPr>
        <w:pStyle w:val="TextBody"/>
        <w:bidi w:val="0"/>
        <w:spacing w:before="240" w:after="0"/>
        <w:jc w:val="left"/>
        <w:rPr/>
      </w:pPr>
      <w:r>
        <w:rPr/>
        <w:t>“</w:t>
      </w:r>
      <w:r>
        <w:rPr>
          <w:rFonts w:ascii="Times New Roman" w:hAnsi="Times New Roman"/>
          <w:b/>
          <w:sz w:val="20"/>
        </w:rPr>
        <w:t>Significant Subsidiary</w:t>
      </w:r>
      <w:r>
        <w:rPr>
          <w:rFonts w:ascii="Times New Roman" w:hAnsi="Times New Roman"/>
          <w:sz w:val="20"/>
        </w:rPr>
        <w:t xml:space="preserve">” means any Subsidiary of the Company which would constitute a “significant subsidiary” as defined in Rule 1-02 of Regulation S-X under the Securities Act and the Exchange Act. </w:t>
      </w:r>
    </w:p>
    <w:p>
      <w:pPr>
        <w:pStyle w:val="TextBody"/>
        <w:bidi w:val="0"/>
        <w:spacing w:before="240" w:after="0"/>
        <w:jc w:val="left"/>
        <w:rPr/>
      </w:pPr>
      <w:r>
        <w:rPr/>
        <w:t>“</w:t>
      </w:r>
      <w:r>
        <w:rPr>
          <w:rFonts w:ascii="Times New Roman" w:hAnsi="Times New Roman"/>
          <w:b/>
          <w:sz w:val="20"/>
        </w:rPr>
        <w:t>Subsidiary</w:t>
      </w:r>
      <w:r>
        <w:rPr>
          <w:rFonts w:ascii="Times New Roman" w:hAnsi="Times New Roman"/>
          <w:sz w:val="20"/>
        </w:rPr>
        <w:t xml:space="preserve">” of any Person means any corporation or other entity of which a majority of the Capital Stock having ordinary voting power to elect a majority of the board of directors of such entity or other persons performing similar functions is at the time directly or indirectly owned or controlled by such Person. </w:t>
      </w:r>
    </w:p>
    <w:p>
      <w:pPr>
        <w:pStyle w:val="TextBody"/>
        <w:bidi w:val="0"/>
        <w:spacing w:before="240" w:after="0"/>
        <w:jc w:val="left"/>
        <w:rPr/>
      </w:pPr>
      <w:r>
        <w:rPr/>
        <w:t>“</w:t>
      </w:r>
      <w:r>
        <w:rPr>
          <w:rFonts w:ascii="Times New Roman" w:hAnsi="Times New Roman"/>
          <w:b/>
          <w:sz w:val="20"/>
        </w:rPr>
        <w:t>TIA</w:t>
      </w:r>
      <w:r>
        <w:rPr>
          <w:rFonts w:ascii="Times New Roman" w:hAnsi="Times New Roman"/>
          <w:sz w:val="20"/>
        </w:rPr>
        <w:t xml:space="preserve">” means the Trust Indenture Act of 1939, as in effect from time to time, except as otherwise provided herein. </w:t>
      </w:r>
    </w:p>
    <w:p>
      <w:pPr>
        <w:pStyle w:val="TextBody"/>
        <w:bidi w:val="0"/>
        <w:spacing w:before="240" w:after="0"/>
        <w:jc w:val="left"/>
        <w:rPr/>
      </w:pPr>
      <w:r>
        <w:rPr/>
        <w:t>“</w:t>
      </w:r>
      <w:r>
        <w:rPr>
          <w:rFonts w:ascii="Times New Roman" w:hAnsi="Times New Roman"/>
          <w:b/>
          <w:sz w:val="20"/>
        </w:rPr>
        <w:t>Trustee</w:t>
      </w:r>
      <w:r>
        <w:rPr>
          <w:rFonts w:ascii="Times New Roman" w:hAnsi="Times New Roman"/>
          <w:sz w:val="20"/>
        </w:rPr>
        <w:t xml:space="preserve">” means the party named as such in this Base Indenture until a successor replaces it pursuant to this Base Indenture and thereafter means the successor serving hereunder;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at any time there is more than one such Person, “Trustee” as used with respect to the Securities of any Series shall mean only the Trustee with respect to Securities of that Series. </w:t>
      </w:r>
    </w:p>
    <w:p>
      <w:pPr>
        <w:pStyle w:val="TextBody"/>
        <w:bidi w:val="0"/>
        <w:spacing w:before="240" w:after="0"/>
        <w:jc w:val="left"/>
        <w:rPr/>
      </w:pPr>
      <w:r>
        <w:rPr/>
        <w:t>“</w:t>
      </w:r>
      <w:r>
        <w:rPr>
          <w:rFonts w:ascii="Times New Roman" w:hAnsi="Times New Roman"/>
          <w:b/>
          <w:sz w:val="20"/>
        </w:rPr>
        <w:t>Trust Officer</w:t>
      </w:r>
      <w:r>
        <w:rPr>
          <w:rFonts w:ascii="Times New Roman" w:hAnsi="Times New Roman"/>
          <w:sz w:val="20"/>
        </w:rPr>
        <w:t xml:space="preserve">” means, when used with respect to the Trustee, any officer within the corporate trust department of the Trustee, including any vice president, assistant vice president, assistant secretary, senior associate, associate, trust officer or any other officer of the Trustee who customarily performs functions similar to those performed by the Persons who at the time shall be such officers or to whom any corporate trust matter is referred because of such person’s knowledge of and familiarity with the particular subject and who shall have direct responsibility for the administration of this Indenture. </w:t>
      </w:r>
    </w:p>
    <w:p>
      <w:pPr>
        <w:pStyle w:val="TextBody"/>
        <w:bidi w:val="0"/>
        <w:spacing w:before="240" w:after="0"/>
        <w:jc w:val="left"/>
        <w:rPr/>
      </w:pPr>
      <w:r>
        <w:rPr/>
        <w:t>“</w:t>
      </w:r>
      <w:r>
        <w:rPr>
          <w:rFonts w:ascii="Times New Roman" w:hAnsi="Times New Roman"/>
          <w:b/>
          <w:sz w:val="20"/>
        </w:rPr>
        <w:t>United States</w:t>
      </w:r>
      <w:r>
        <w:rPr>
          <w:rFonts w:ascii="Times New Roman" w:hAnsi="Times New Roman"/>
          <w:sz w:val="20"/>
        </w:rPr>
        <w:t xml:space="preserve">” means the United States of America.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1.02 </w:t>
      </w:r>
      <w:r>
        <w:rPr>
          <w:rFonts w:ascii="Times New Roman" w:hAnsi="Times New Roman"/>
          <w:b/>
          <w:sz w:val="20"/>
          <w:u w:val="single"/>
        </w:rPr>
        <w:t>Other Definitions.</w:t>
      </w:r>
      <w:r>
        <w:rPr>
          <w:rFonts w:ascii="Times New Roman" w:hAnsi="Times New Roman"/>
          <w:b/>
          <w:sz w:val="20"/>
        </w:rPr>
        <w:t xml:space="preserv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557"/>
        <w:gridCol w:w="239"/>
        <w:gridCol w:w="66"/>
        <w:gridCol w:w="1014"/>
        <w:gridCol w:w="63"/>
      </w:tblGrid>
      <w:tr>
        <w:trPr/>
        <w:tc>
          <w:tcPr>
            <w:tcW w:w="5557" w:type="dxa"/>
            <w:tcBorders/>
            <w:vAlign w:val="center"/>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557" w:type="dxa"/>
            <w:tcBorders/>
            <w:vAlign w:val="bottom"/>
          </w:tcPr>
          <w:p>
            <w:pPr>
              <w:pStyle w:val="TableContents"/>
              <w:bidi w:val="0"/>
              <w:spacing w:before="0" w:after="283"/>
              <w:jc w:val="left"/>
              <w:rPr>
                <w:b/>
              </w:rPr>
            </w:pPr>
            <w:r>
              <w:rPr>
                <w:b/>
              </w:rPr>
              <w:t>Term</w:t>
            </w:r>
          </w:p>
        </w:tc>
        <w:tc>
          <w:tcPr>
            <w:tcW w:w="239" w:type="dxa"/>
            <w:tcBorders/>
            <w:vAlign w:val="bottom"/>
          </w:tcPr>
          <w:p>
            <w:pPr>
              <w:pStyle w:val="TableContents"/>
              <w:bidi w:val="0"/>
              <w:spacing w:before="0" w:after="283"/>
              <w:jc w:val="left"/>
              <w:rPr/>
            </w:pPr>
            <w:r>
              <w:rPr/>
              <w:t>  </w:t>
            </w:r>
          </w:p>
        </w:tc>
        <w:tc>
          <w:tcPr>
            <w:tcW w:w="10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Defined in</w:t>
              <w:br/>
              <w:t>Section</w:t>
            </w:r>
          </w:p>
        </w:tc>
        <w:tc>
          <w:tcPr>
            <w:tcW w:w="63" w:type="dxa"/>
            <w:tcBorders/>
            <w:vAlign w:val="bottom"/>
          </w:tcPr>
          <w:p>
            <w:pPr>
              <w:pStyle w:val="TableContents"/>
              <w:bidi w:val="0"/>
              <w:spacing w:before="0" w:after="283"/>
              <w:jc w:val="left"/>
              <w:rPr/>
            </w:pPr>
            <w:r>
              <w:rPr/>
              <w:t> </w:t>
            </w:r>
          </w:p>
        </w:tc>
      </w:tr>
      <w:tr>
        <w:trPr/>
        <w:tc>
          <w:tcPr>
            <w:tcW w:w="55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Agent Members</w:t>
            </w:r>
          </w:p>
        </w:tc>
        <w:tc>
          <w:tcPr>
            <w:tcW w:w="239"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2.15</w:t>
            </w:r>
          </w:p>
        </w:tc>
        <w:tc>
          <w:tcPr>
            <w:tcW w:w="63" w:type="dxa"/>
            <w:tcBorders/>
            <w:shd w:fill="CCEEFF" w:val="clear"/>
            <w:vAlign w:val="bottom"/>
          </w:tcPr>
          <w:p>
            <w:pPr>
              <w:pStyle w:val="TableContents"/>
              <w:bidi w:val="0"/>
              <w:spacing w:before="0" w:after="283"/>
              <w:jc w:val="left"/>
              <w:rPr/>
            </w:pPr>
            <w:r>
              <w:rPr/>
              <w:t> </w:t>
            </w:r>
          </w:p>
        </w:tc>
      </w:tr>
      <w:tr>
        <w:trPr/>
        <w:tc>
          <w:tcPr>
            <w:tcW w:w="5557" w:type="dxa"/>
            <w:tcBorders/>
          </w:tcPr>
          <w:p>
            <w:pPr>
              <w:pStyle w:val="TableContents"/>
              <w:bidi w:val="0"/>
              <w:spacing w:before="0" w:after="0"/>
              <w:jc w:val="left"/>
              <w:rPr>
                <w:rFonts w:ascii="Times New Roman" w:hAnsi="Times New Roman"/>
                <w:sz w:val="20"/>
              </w:rPr>
            </w:pPr>
            <w:r>
              <w:rPr>
                <w:rFonts w:ascii="Times New Roman" w:hAnsi="Times New Roman"/>
                <w:sz w:val="20"/>
              </w:rPr>
              <w:t>Base Indenture</w:t>
            </w:r>
          </w:p>
        </w:tc>
        <w:tc>
          <w:tcPr>
            <w:tcW w:w="239"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014" w:type="dxa"/>
            <w:tcBorders/>
            <w:vAlign w:val="bottom"/>
          </w:tcPr>
          <w:p>
            <w:pPr>
              <w:pStyle w:val="TableContents"/>
              <w:bidi w:val="0"/>
              <w:spacing w:before="0" w:after="283"/>
              <w:jc w:val="right"/>
              <w:rPr/>
            </w:pPr>
            <w:r>
              <w:rPr/>
              <w:t>Preamble</w:t>
            </w:r>
          </w:p>
        </w:tc>
        <w:tc>
          <w:tcPr>
            <w:tcW w:w="63" w:type="dxa"/>
            <w:tcBorders/>
            <w:vAlign w:val="bottom"/>
          </w:tcPr>
          <w:p>
            <w:pPr>
              <w:pStyle w:val="TableContents"/>
              <w:bidi w:val="0"/>
              <w:spacing w:before="0" w:after="283"/>
              <w:jc w:val="left"/>
              <w:rPr/>
            </w:pPr>
            <w:r>
              <w:rPr/>
              <w:t> </w:t>
            </w:r>
          </w:p>
        </w:tc>
      </w:tr>
      <w:tr>
        <w:trPr/>
        <w:tc>
          <w:tcPr>
            <w:tcW w:w="55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Business Day</w:t>
            </w:r>
          </w:p>
        </w:tc>
        <w:tc>
          <w:tcPr>
            <w:tcW w:w="239"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12.07</w:t>
            </w:r>
          </w:p>
        </w:tc>
        <w:tc>
          <w:tcPr>
            <w:tcW w:w="63" w:type="dxa"/>
            <w:tcBorders/>
            <w:shd w:fill="CCEEFF" w:val="clear"/>
            <w:vAlign w:val="bottom"/>
          </w:tcPr>
          <w:p>
            <w:pPr>
              <w:pStyle w:val="TableContents"/>
              <w:bidi w:val="0"/>
              <w:spacing w:before="0" w:after="283"/>
              <w:jc w:val="left"/>
              <w:rPr/>
            </w:pPr>
            <w:r>
              <w:rPr/>
              <w:t> </w:t>
            </w:r>
          </w:p>
        </w:tc>
      </w:tr>
      <w:tr>
        <w:trPr/>
        <w:tc>
          <w:tcPr>
            <w:tcW w:w="5557" w:type="dxa"/>
            <w:tcBorders/>
          </w:tcPr>
          <w:p>
            <w:pPr>
              <w:pStyle w:val="TableContents"/>
              <w:bidi w:val="0"/>
              <w:spacing w:before="0" w:after="0"/>
              <w:jc w:val="left"/>
              <w:rPr>
                <w:rFonts w:ascii="Times New Roman" w:hAnsi="Times New Roman"/>
                <w:sz w:val="20"/>
              </w:rPr>
            </w:pPr>
            <w:r>
              <w:rPr>
                <w:rFonts w:ascii="Times New Roman" w:hAnsi="Times New Roman"/>
                <w:sz w:val="20"/>
              </w:rPr>
              <w:t>Covenant Defeasance</w:t>
            </w:r>
          </w:p>
        </w:tc>
        <w:tc>
          <w:tcPr>
            <w:tcW w:w="239"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014" w:type="dxa"/>
            <w:tcBorders/>
            <w:vAlign w:val="bottom"/>
          </w:tcPr>
          <w:p>
            <w:pPr>
              <w:pStyle w:val="TableContents"/>
              <w:bidi w:val="0"/>
              <w:spacing w:before="0" w:after="283"/>
              <w:jc w:val="right"/>
              <w:rPr/>
            </w:pPr>
            <w:r>
              <w:rPr/>
              <w:t>8.01</w:t>
            </w:r>
          </w:p>
        </w:tc>
        <w:tc>
          <w:tcPr>
            <w:tcW w:w="63" w:type="dxa"/>
            <w:tcBorders/>
            <w:vAlign w:val="bottom"/>
          </w:tcPr>
          <w:p>
            <w:pPr>
              <w:pStyle w:val="TableContents"/>
              <w:bidi w:val="0"/>
              <w:spacing w:before="0" w:after="283"/>
              <w:jc w:val="left"/>
              <w:rPr/>
            </w:pPr>
            <w:r>
              <w:rPr/>
              <w:t> </w:t>
            </w:r>
          </w:p>
        </w:tc>
      </w:tr>
      <w:tr>
        <w:trPr/>
        <w:tc>
          <w:tcPr>
            <w:tcW w:w="55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Custodian</w:t>
            </w:r>
          </w:p>
        </w:tc>
        <w:tc>
          <w:tcPr>
            <w:tcW w:w="239"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6.01</w:t>
            </w:r>
          </w:p>
        </w:tc>
        <w:tc>
          <w:tcPr>
            <w:tcW w:w="63" w:type="dxa"/>
            <w:tcBorders/>
            <w:shd w:fill="CCEEFF" w:val="clear"/>
            <w:vAlign w:val="bottom"/>
          </w:tcPr>
          <w:p>
            <w:pPr>
              <w:pStyle w:val="TableContents"/>
              <w:bidi w:val="0"/>
              <w:spacing w:before="0" w:after="283"/>
              <w:jc w:val="left"/>
              <w:rPr/>
            </w:pPr>
            <w:r>
              <w:rPr/>
              <w:t> </w:t>
            </w:r>
          </w:p>
        </w:tc>
      </w:tr>
      <w:tr>
        <w:trPr/>
        <w:tc>
          <w:tcPr>
            <w:tcW w:w="5557" w:type="dxa"/>
            <w:tcBorders/>
          </w:tcPr>
          <w:p>
            <w:pPr>
              <w:pStyle w:val="TableContents"/>
              <w:bidi w:val="0"/>
              <w:spacing w:before="0" w:after="0"/>
              <w:jc w:val="left"/>
              <w:rPr>
                <w:rFonts w:ascii="Times New Roman" w:hAnsi="Times New Roman"/>
                <w:sz w:val="20"/>
              </w:rPr>
            </w:pPr>
            <w:r>
              <w:rPr>
                <w:rFonts w:ascii="Times New Roman" w:hAnsi="Times New Roman"/>
                <w:sz w:val="20"/>
              </w:rPr>
              <w:t>Event of Default</w:t>
            </w:r>
          </w:p>
        </w:tc>
        <w:tc>
          <w:tcPr>
            <w:tcW w:w="239"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014" w:type="dxa"/>
            <w:tcBorders/>
            <w:vAlign w:val="bottom"/>
          </w:tcPr>
          <w:p>
            <w:pPr>
              <w:pStyle w:val="TableContents"/>
              <w:bidi w:val="0"/>
              <w:spacing w:before="0" w:after="283"/>
              <w:jc w:val="right"/>
              <w:rPr/>
            </w:pPr>
            <w:r>
              <w:rPr/>
              <w:t>6.01</w:t>
            </w:r>
          </w:p>
        </w:tc>
        <w:tc>
          <w:tcPr>
            <w:tcW w:w="63" w:type="dxa"/>
            <w:tcBorders/>
            <w:vAlign w:val="bottom"/>
          </w:tcPr>
          <w:p>
            <w:pPr>
              <w:pStyle w:val="TableContents"/>
              <w:bidi w:val="0"/>
              <w:spacing w:before="0" w:after="283"/>
              <w:jc w:val="left"/>
              <w:rPr/>
            </w:pPr>
            <w:r>
              <w:rPr/>
              <w:t> </w:t>
            </w:r>
          </w:p>
        </w:tc>
      </w:tr>
      <w:tr>
        <w:trPr/>
        <w:tc>
          <w:tcPr>
            <w:tcW w:w="55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Legal Defeasance</w:t>
            </w:r>
          </w:p>
        </w:tc>
        <w:tc>
          <w:tcPr>
            <w:tcW w:w="239"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8.01</w:t>
            </w:r>
          </w:p>
        </w:tc>
        <w:tc>
          <w:tcPr>
            <w:tcW w:w="63" w:type="dxa"/>
            <w:tcBorders/>
            <w:shd w:fill="CCEEFF" w:val="clear"/>
            <w:vAlign w:val="bottom"/>
          </w:tcPr>
          <w:p>
            <w:pPr>
              <w:pStyle w:val="TableContents"/>
              <w:bidi w:val="0"/>
              <w:spacing w:before="0" w:after="283"/>
              <w:jc w:val="left"/>
              <w:rPr/>
            </w:pPr>
            <w:r>
              <w:rPr/>
              <w:t> </w:t>
            </w:r>
          </w:p>
        </w:tc>
      </w:tr>
      <w:tr>
        <w:trPr/>
        <w:tc>
          <w:tcPr>
            <w:tcW w:w="5557" w:type="dxa"/>
            <w:tcBorders/>
          </w:tcPr>
          <w:p>
            <w:pPr>
              <w:pStyle w:val="TableContents"/>
              <w:bidi w:val="0"/>
              <w:spacing w:before="0" w:after="0"/>
              <w:jc w:val="left"/>
              <w:rPr>
                <w:rFonts w:ascii="Times New Roman" w:hAnsi="Times New Roman"/>
                <w:sz w:val="20"/>
              </w:rPr>
            </w:pPr>
            <w:r>
              <w:rPr>
                <w:rFonts w:ascii="Times New Roman" w:hAnsi="Times New Roman"/>
                <w:sz w:val="20"/>
              </w:rPr>
              <w:t>Legal Holiday</w:t>
            </w:r>
          </w:p>
        </w:tc>
        <w:tc>
          <w:tcPr>
            <w:tcW w:w="239"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014" w:type="dxa"/>
            <w:tcBorders/>
            <w:vAlign w:val="bottom"/>
          </w:tcPr>
          <w:p>
            <w:pPr>
              <w:pStyle w:val="TableContents"/>
              <w:bidi w:val="0"/>
              <w:spacing w:before="0" w:after="283"/>
              <w:jc w:val="right"/>
              <w:rPr/>
            </w:pPr>
            <w:r>
              <w:rPr/>
              <w:t>12.07</w:t>
            </w:r>
          </w:p>
        </w:tc>
        <w:tc>
          <w:tcPr>
            <w:tcW w:w="63" w:type="dxa"/>
            <w:tcBorders/>
            <w:vAlign w:val="bottom"/>
          </w:tcPr>
          <w:p>
            <w:pPr>
              <w:pStyle w:val="TableContents"/>
              <w:bidi w:val="0"/>
              <w:spacing w:before="0" w:after="283"/>
              <w:jc w:val="left"/>
              <w:rPr/>
            </w:pPr>
            <w:r>
              <w:rPr/>
              <w:t> </w:t>
            </w:r>
          </w:p>
        </w:tc>
      </w:tr>
      <w:tr>
        <w:trPr/>
        <w:tc>
          <w:tcPr>
            <w:tcW w:w="55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Paying Agent</w:t>
            </w:r>
          </w:p>
        </w:tc>
        <w:tc>
          <w:tcPr>
            <w:tcW w:w="239"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2.03</w:t>
            </w:r>
          </w:p>
        </w:tc>
        <w:tc>
          <w:tcPr>
            <w:tcW w:w="63" w:type="dxa"/>
            <w:tcBorders/>
            <w:shd w:fill="CCEEFF" w:val="clear"/>
            <w:vAlign w:val="bottom"/>
          </w:tcPr>
          <w:p>
            <w:pPr>
              <w:pStyle w:val="TableContents"/>
              <w:bidi w:val="0"/>
              <w:spacing w:before="0" w:after="283"/>
              <w:jc w:val="left"/>
              <w:rPr/>
            </w:pPr>
            <w:r>
              <w:rPr/>
              <w:t> </w:t>
            </w:r>
          </w:p>
        </w:tc>
      </w:tr>
      <w:tr>
        <w:trPr/>
        <w:tc>
          <w:tcPr>
            <w:tcW w:w="5557" w:type="dxa"/>
            <w:tcBorders/>
          </w:tcPr>
          <w:p>
            <w:pPr>
              <w:pStyle w:val="TableContents"/>
              <w:bidi w:val="0"/>
              <w:spacing w:before="0" w:after="0"/>
              <w:jc w:val="left"/>
              <w:rPr>
                <w:rFonts w:ascii="Times New Roman" w:hAnsi="Times New Roman"/>
                <w:sz w:val="20"/>
              </w:rPr>
            </w:pPr>
            <w:r>
              <w:rPr>
                <w:rFonts w:ascii="Times New Roman" w:hAnsi="Times New Roman"/>
                <w:sz w:val="20"/>
              </w:rPr>
              <w:t>Payment Default</w:t>
            </w:r>
          </w:p>
        </w:tc>
        <w:tc>
          <w:tcPr>
            <w:tcW w:w="239"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014" w:type="dxa"/>
            <w:tcBorders/>
            <w:vAlign w:val="bottom"/>
          </w:tcPr>
          <w:p>
            <w:pPr>
              <w:pStyle w:val="TableContents"/>
              <w:bidi w:val="0"/>
              <w:spacing w:before="0" w:after="283"/>
              <w:jc w:val="right"/>
              <w:rPr/>
            </w:pPr>
            <w:r>
              <w:rPr/>
              <w:t>6.01</w:t>
            </w:r>
          </w:p>
        </w:tc>
        <w:tc>
          <w:tcPr>
            <w:tcW w:w="63" w:type="dxa"/>
            <w:tcBorders/>
            <w:vAlign w:val="bottom"/>
          </w:tcPr>
          <w:p>
            <w:pPr>
              <w:pStyle w:val="TableContents"/>
              <w:bidi w:val="0"/>
              <w:spacing w:before="0" w:after="283"/>
              <w:jc w:val="left"/>
              <w:rPr/>
            </w:pPr>
            <w:r>
              <w:rPr/>
              <w:t> </w:t>
            </w:r>
          </w:p>
        </w:tc>
      </w:tr>
      <w:tr>
        <w:trPr/>
        <w:tc>
          <w:tcPr>
            <w:tcW w:w="55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Registrar</w:t>
            </w:r>
          </w:p>
        </w:tc>
        <w:tc>
          <w:tcPr>
            <w:tcW w:w="239"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2.03</w:t>
            </w:r>
          </w:p>
        </w:tc>
        <w:tc>
          <w:tcPr>
            <w:tcW w:w="63" w:type="dxa"/>
            <w:tcBorders/>
            <w:shd w:fill="CCEEFF" w:val="clear"/>
            <w:vAlign w:val="bottom"/>
          </w:tcPr>
          <w:p>
            <w:pPr>
              <w:pStyle w:val="TableContents"/>
              <w:bidi w:val="0"/>
              <w:spacing w:before="0" w:after="283"/>
              <w:jc w:val="left"/>
              <w:rPr/>
            </w:pPr>
            <w:r>
              <w:rPr/>
              <w:t> </w:t>
            </w:r>
          </w:p>
        </w:tc>
      </w:tr>
      <w:tr>
        <w:trPr/>
        <w:tc>
          <w:tcPr>
            <w:tcW w:w="5557" w:type="dxa"/>
            <w:tcBorders/>
          </w:tcPr>
          <w:p>
            <w:pPr>
              <w:pStyle w:val="TableContents"/>
              <w:bidi w:val="0"/>
              <w:spacing w:before="0" w:after="0"/>
              <w:jc w:val="left"/>
              <w:rPr>
                <w:rFonts w:ascii="Times New Roman" w:hAnsi="Times New Roman"/>
                <w:sz w:val="20"/>
              </w:rPr>
            </w:pPr>
            <w:r>
              <w:rPr>
                <w:rFonts w:ascii="Times New Roman" w:hAnsi="Times New Roman"/>
                <w:sz w:val="20"/>
              </w:rPr>
              <w:t>Security Register</w:t>
            </w:r>
          </w:p>
        </w:tc>
        <w:tc>
          <w:tcPr>
            <w:tcW w:w="239"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014" w:type="dxa"/>
            <w:tcBorders/>
            <w:vAlign w:val="bottom"/>
          </w:tcPr>
          <w:p>
            <w:pPr>
              <w:pStyle w:val="TableContents"/>
              <w:bidi w:val="0"/>
              <w:spacing w:before="0" w:after="283"/>
              <w:jc w:val="right"/>
              <w:rPr/>
            </w:pPr>
            <w:r>
              <w:rPr/>
              <w:t>2.03</w:t>
            </w:r>
          </w:p>
        </w:tc>
        <w:tc>
          <w:tcPr>
            <w:tcW w:w="63" w:type="dxa"/>
            <w:tcBorders/>
            <w:vAlign w:val="bottom"/>
          </w:tcPr>
          <w:p>
            <w:pPr>
              <w:pStyle w:val="TableContents"/>
              <w:bidi w:val="0"/>
              <w:spacing w:before="0" w:after="283"/>
              <w:jc w:val="left"/>
              <w:rPr/>
            </w:pPr>
            <w:r>
              <w:rPr/>
              <w:t> </w:t>
            </w:r>
          </w:p>
        </w:tc>
      </w:tr>
      <w:tr>
        <w:trPr/>
        <w:tc>
          <w:tcPr>
            <w:tcW w:w="55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Successor</w:t>
            </w:r>
          </w:p>
        </w:tc>
        <w:tc>
          <w:tcPr>
            <w:tcW w:w="239"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5.01</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Section 1.03 </w:t>
      </w:r>
      <w:r>
        <w:rPr>
          <w:rFonts w:ascii="Times New Roman" w:hAnsi="Times New Roman"/>
          <w:b/>
          <w:sz w:val="20"/>
          <w:u w:val="single"/>
        </w:rPr>
        <w:t>Incorporation by Reference of Trust Indenture Act.</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Whenever this Indenture refers to a provision of the TIA, the provision is incorporated by reference in and made a part of this Indenture. The following TIA terms used in this Indenture have the following meanings: </w:t>
      </w:r>
    </w:p>
    <w:p>
      <w:pPr>
        <w:pStyle w:val="TextBody"/>
        <w:bidi w:val="0"/>
        <w:spacing w:before="240" w:after="0"/>
        <w:jc w:val="left"/>
        <w:rPr/>
      </w:pPr>
      <w:r>
        <w:rPr/>
        <w:t>“</w:t>
      </w:r>
      <w:r>
        <w:rPr>
          <w:rFonts w:ascii="Times New Roman" w:hAnsi="Times New Roman"/>
          <w:sz w:val="20"/>
        </w:rPr>
        <w:t xml:space="preserve">Commission” means the SEC. </w:t>
      </w:r>
    </w:p>
    <w:p>
      <w:pPr>
        <w:pStyle w:val="TextBody"/>
        <w:bidi w:val="0"/>
        <w:spacing w:before="240" w:after="0"/>
        <w:jc w:val="left"/>
        <w:rPr/>
      </w:pPr>
      <w:r>
        <w:rPr/>
        <w:t>“</w:t>
      </w:r>
      <w:r>
        <w:rPr>
          <w:rFonts w:ascii="Times New Roman" w:hAnsi="Times New Roman"/>
          <w:sz w:val="20"/>
        </w:rPr>
        <w:t xml:space="preserve">indenture securities” means the Securities of a particular Series. </w:t>
      </w:r>
    </w:p>
    <w:p>
      <w:pPr>
        <w:pStyle w:val="TextBody"/>
        <w:bidi w:val="0"/>
        <w:spacing w:before="240" w:after="0"/>
        <w:jc w:val="left"/>
        <w:rPr/>
      </w:pPr>
      <w:r>
        <w:rPr/>
        <w:t>“</w:t>
      </w:r>
      <w:r>
        <w:rPr>
          <w:rFonts w:ascii="Times New Roman" w:hAnsi="Times New Roman"/>
          <w:sz w:val="20"/>
        </w:rPr>
        <w:t xml:space="preserve">indenture security holder” means a Securityholder. </w:t>
      </w:r>
    </w:p>
    <w:p>
      <w:pPr>
        <w:pStyle w:val="TextBody"/>
        <w:bidi w:val="0"/>
        <w:spacing w:before="240" w:after="0"/>
        <w:jc w:val="left"/>
        <w:rPr/>
      </w:pPr>
      <w:r>
        <w:rPr/>
        <w:t>“</w:t>
      </w:r>
      <w:r>
        <w:rPr>
          <w:rFonts w:ascii="Times New Roman" w:hAnsi="Times New Roman"/>
          <w:sz w:val="20"/>
        </w:rPr>
        <w:t xml:space="preserve">indenture to be qualified” means this Indenture. </w:t>
      </w:r>
    </w:p>
    <w:p>
      <w:pPr>
        <w:pStyle w:val="TextBody"/>
        <w:bidi w:val="0"/>
        <w:spacing w:before="240" w:after="0"/>
        <w:jc w:val="left"/>
        <w:rPr/>
      </w:pPr>
      <w:r>
        <w:rPr/>
        <w:t>“</w:t>
      </w:r>
      <w:r>
        <w:rPr>
          <w:rFonts w:ascii="Times New Roman" w:hAnsi="Times New Roman"/>
          <w:sz w:val="20"/>
        </w:rPr>
        <w:t xml:space="preserve">indenture trustee” or “institutional trustee” means the Trustee. </w:t>
      </w:r>
    </w:p>
    <w:p>
      <w:pPr>
        <w:pStyle w:val="TextBody"/>
        <w:bidi w:val="0"/>
        <w:spacing w:before="240" w:after="0"/>
        <w:jc w:val="left"/>
        <w:rPr/>
      </w:pPr>
      <w:r>
        <w:rPr/>
        <w:t>“</w:t>
      </w:r>
      <w:r>
        <w:rPr>
          <w:rFonts w:ascii="Times New Roman" w:hAnsi="Times New Roman"/>
          <w:sz w:val="20"/>
        </w:rPr>
        <w:t xml:space="preserve">obligor” on the indenture securities means the Company or any other obligor on the Securities of a Series. </w:t>
      </w:r>
    </w:p>
    <w:p>
      <w:pPr>
        <w:pStyle w:val="TextBody"/>
        <w:bidi w:val="0"/>
        <w:spacing w:before="240" w:after="0"/>
        <w:jc w:val="left"/>
        <w:rPr>
          <w:rFonts w:ascii="Times New Roman" w:hAnsi="Times New Roman"/>
          <w:sz w:val="20"/>
        </w:rPr>
      </w:pPr>
      <w:r>
        <w:rPr>
          <w:rFonts w:ascii="Times New Roman" w:hAnsi="Times New Roman"/>
          <w:sz w:val="20"/>
        </w:rPr>
        <w:t xml:space="preserve">All other TIA terms used in this Indenture that are defined by the TIA, defined by TIA reference to another statute or defined by SEC rule have the meanings so assigned to them.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1.04 </w:t>
      </w:r>
      <w:r>
        <w:rPr>
          <w:rFonts w:ascii="Times New Roman" w:hAnsi="Times New Roman"/>
          <w:b/>
          <w:sz w:val="20"/>
          <w:u w:val="single"/>
        </w:rPr>
        <w:t>Rules of Construction.</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Unless the context otherwise requires: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term has the meaning assigned to it 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accounting term not otherwise defined has the meaning assigned to it in accordance with GAAP and all accounting determinations shall be made in accordance with GAAP;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pPr>
            <w:r>
              <w:rPr/>
              <w:t>“</w:t>
            </w:r>
            <w:r>
              <w:rPr>
                <w:rFonts w:ascii="Times New Roman" w:hAnsi="Times New Roman"/>
                <w:sz w:val="20"/>
              </w:rPr>
              <w:t xml:space="preserve">or” is not exclusive and “including” means “including without limitation”;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words in the singular include the plural, and in the plural include the singular;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pPr>
            <w:r>
              <w:rPr/>
              <w:t>“</w:t>
            </w:r>
            <w:r>
              <w:rPr>
                <w:rFonts w:ascii="Times New Roman" w:hAnsi="Times New Roman"/>
                <w:sz w:val="20"/>
              </w:rPr>
              <w:t xml:space="preserve">herein,” “hereof” and “hereunder,” and other words of similar import, refer to this Indenture as a whole (including any Authorizing Resolution or supplemental indenture relating to the relevant Series) and not to any particular Article, Section or other subdivision;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exhibits are incorporated by reference herein and expressly made a part of this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or event shall be considered “permitted by” or made “in accordance with” or “in compliance with” this Indenture or any particular provision thereof if such transaction or event is not expressly prohibited by this Indenture or such provision, as the case may be.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TWO </w:t>
      </w:r>
    </w:p>
    <w:p>
      <w:pPr>
        <w:pStyle w:val="TextBody"/>
        <w:bidi w:val="0"/>
        <w:spacing w:before="0" w:after="0"/>
        <w:jc w:val="center"/>
        <w:rPr>
          <w:rFonts w:ascii="Times New Roman" w:hAnsi="Times New Roman"/>
          <w:b/>
          <w:sz w:val="20"/>
        </w:rPr>
      </w:pPr>
      <w:r>
        <w:rPr>
          <w:rFonts w:ascii="Times New Roman" w:hAnsi="Times New Roman"/>
          <w:b/>
          <w:sz w:val="20"/>
        </w:rPr>
        <w:t xml:space="preserve">THE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2.01 </w:t>
      </w:r>
      <w:r>
        <w:rPr>
          <w:rFonts w:ascii="Times New Roman" w:hAnsi="Times New Roman"/>
          <w:b/>
          <w:sz w:val="20"/>
          <w:u w:val="single"/>
        </w:rPr>
        <w:t>Form and Dating.</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aggregate principal amount of Securities that may be issued under this Base Indenture is unlimited. The Securities may be issued from time to time in one or more Series. Each Series shall be created by an Authorizing Resolution or a supplemental indenture that establishes the terms of the Series, which may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Series (which shall distinguish the Securities of such Series from all other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principal amount (or any limit on the aggregate principal amount) of the Series and, if any Securities of a Series are to be issued at a discount from their face amount, the method of computing the accretion of such discount;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 rate or method of calculation of the interest 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from which interest will accrue;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record dates for interest payable on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when, places where and manner in which principal and interest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Registrar and Paying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any mandatory (including any sinking fund requirements) or optional redemption by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(9)</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any redemption at the option of 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(10)</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permissible denominations in which Securities of such Series are issuable, if different from $2,000 and multiples of $1,000 in excess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(11)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Securities of such Series will be issued in registered or bearer form and the terms of any such forms of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Securities of the Series shall be issued in whole or in part in the form of a Global Security or Securities, the terms and conditions, if different from those contained in this Base Indenture, upon which such Global Security or Securities may be exchanged in whole or in part for Definitive Securities; the Depositary for such Global Security or Securities; and the form of any legend or legends, if any, to be borne by any such Global Security or Securities in addition to or in lieu of the legends referred to in </w:t>
            </w:r>
            <w:r>
              <w:rPr>
                <w:rFonts w:ascii="Times New Roman" w:hAnsi="Times New Roman"/>
                <w:sz w:val="20"/>
                <w:u w:val="single"/>
              </w:rPr>
              <w:t>Section 2.15</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currencies (including any composite currency) in which principal or interest or both may be paid;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(14)</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payments of principal or interest may be made in a currency other than that in which Securities of such Series are denominated, the manner for determining such payments, including the time and manner of determining the exchange rate between the currency in which such Securities are denominated and the currency in which such Securities or any of them may be paid, and any deletions from or modifications of or additions to the terms of this Indenture to provide for or to facilitate the issuance of Securities denominated or payable, at the election of the Company or a Holder thereof or otherwise, in a Foreign Currency;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(15)</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for electronic issuance of Securities or issuance of Securities of such Series in uncertificated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Events of Default, covenants and/or defined terms in addition to or in lieu of those set forth in this Base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(17)</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upon what terms Securities of such Series may be defeased or discharged if different from the provisions set forth in this Base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(18)</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form of the Securities of such Series, which, unless the Authorizing Resolution or supplemental indenture otherwise provides, shall be in the form of </w:t>
            </w:r>
            <w:r>
              <w:rPr>
                <w:rFonts w:ascii="Times New Roman" w:hAnsi="Times New Roman"/>
                <w:sz w:val="20"/>
                <w:u w:val="single"/>
              </w:rPr>
              <w:t>Exhibit A</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(19)</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terms that may be required by or advisable under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(20)</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percentage of the principal amount of the Securities of such Series which is payable if the maturity of the Securities of such Series is accelerated in the case of Securities issued at a discount from their face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Securities of such Series will or will not have the benefit of guarantees and the Company’s Subsidiaries that will be the initial guarantors of such Series and, if applicable, the terms and conditions upon which such guarantees may be subordinated to other indebtedness of the respective guarantors;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Securities of such Series are senior or subordinated debt securities, and if subordinated debt securities, the terms of such subordination;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Securities of the Series will be convertible into or exchangeable for other Securities, ordinary shares, preferred shares or other securities of any kind of the Company or another obligor, and, if so, the terms and conditions upon which such Securities will be so convertible or exchangeable, including the initial conversion or exchange price or rate or the method of calculation, how and when the conversion price or exchange ratio may be adjusted, whether conversion or exchange is mandatory, at the option of the holder or at the Company’s option, the conversion or exchange period, and any other provision in relation thereto;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in addition to or different from those contained in this Base Indenture applicable to such Series.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Securities of one Series need not be issued at the same time and, unless otherwise provided, a Series may be reopened for issuances of additional Securities of such Series pursuant to an Authorizing Resolution, an Officers’ Certificate or in any indenture supplemental hereto. </w:t>
      </w:r>
    </w:p>
    <w:p>
      <w:pPr>
        <w:pStyle w:val="TextBody"/>
        <w:bidi w:val="0"/>
        <w:spacing w:before="240" w:after="0"/>
        <w:jc w:val="left"/>
        <w:rPr>
          <w:rFonts w:ascii="Times New Roman" w:hAnsi="Times New Roman"/>
          <w:sz w:val="20"/>
        </w:rPr>
      </w:pPr>
      <w:r>
        <w:rPr>
          <w:rFonts w:ascii="Times New Roman" w:hAnsi="Times New Roman"/>
          <w:sz w:val="20"/>
        </w:rPr>
        <w:t xml:space="preserve">The creation and issuance of a Series and the authentication and delivery thereof are not subject to any conditions precedent.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2.02 </w:t>
      </w:r>
      <w:r>
        <w:rPr>
          <w:rFonts w:ascii="Times New Roman" w:hAnsi="Times New Roman"/>
          <w:b/>
          <w:sz w:val="20"/>
          <w:u w:val="single"/>
        </w:rPr>
        <w:t>Execution and Authentication.</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One Officer shall sign the Securities for the Company by manual or facsimile signature. </w:t>
      </w:r>
    </w:p>
    <w:p>
      <w:pPr>
        <w:pStyle w:val="TextBody"/>
        <w:bidi w:val="0"/>
        <w:spacing w:before="240" w:after="0"/>
        <w:jc w:val="left"/>
        <w:rPr>
          <w:rFonts w:ascii="Times New Roman" w:hAnsi="Times New Roman"/>
          <w:sz w:val="20"/>
        </w:rPr>
      </w:pPr>
      <w:r>
        <w:rPr>
          <w:rFonts w:ascii="Times New Roman" w:hAnsi="Times New Roman"/>
          <w:sz w:val="20"/>
        </w:rPr>
        <w:t xml:space="preserve">If an Officer whose signature is on a Security no longer holds that office at the time the Trustee authenticates the Security, the Security shall nevertheless be valid. </w:t>
      </w:r>
    </w:p>
    <w:p>
      <w:pPr>
        <w:pStyle w:val="TextBody"/>
        <w:bidi w:val="0"/>
        <w:spacing w:before="240" w:after="0"/>
        <w:jc w:val="left"/>
        <w:rPr>
          <w:rFonts w:ascii="Times New Roman" w:hAnsi="Times New Roman"/>
          <w:sz w:val="20"/>
        </w:rPr>
      </w:pPr>
      <w:r>
        <w:rPr>
          <w:rFonts w:ascii="Times New Roman" w:hAnsi="Times New Roman"/>
          <w:sz w:val="20"/>
        </w:rPr>
        <w:t xml:space="preserve">A Security shall not be valid until the Trustee manually signs the certificate of authentication on the Security. The signature shall be conclusive evidence that the Security has been authenticated under this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At any time and from time to time after the execution and delivery of this Indenture, the Company may deliver Securities of any series executed by the Company to the Trustee for authentication. Each Security shall be dated the date of its authentication. The Trustee shall authenticate Securities for original issue upon receipt of, and shall be fully protected in relying upon: </w:t>
      </w:r>
    </w:p>
    <w:p>
      <w:pPr>
        <w:pStyle w:val="TextBody"/>
        <w:bidi w:val="0"/>
        <w:spacing w:before="120" w:after="0"/>
        <w:jc w:val="left"/>
        <w:rPr>
          <w:rFonts w:ascii="Times New Roman" w:hAnsi="Times New Roman"/>
          <w:sz w:val="20"/>
        </w:rPr>
      </w:pPr>
      <w:r>
        <w:rPr>
          <w:rFonts w:ascii="Times New Roman" w:hAnsi="Times New Roman"/>
          <w:sz w:val="20"/>
        </w:rPr>
        <w:t xml:space="preserve">(a) an order to the Trustee signed by an officer of the Company directing the Trustee to authenticate the Securities; </w:t>
      </w:r>
    </w:p>
    <w:p>
      <w:pPr>
        <w:pStyle w:val="TextBody"/>
        <w:bidi w:val="0"/>
        <w:spacing w:before="120" w:after="0"/>
        <w:jc w:val="left"/>
        <w:rPr>
          <w:rFonts w:ascii="Times New Roman" w:hAnsi="Times New Roman"/>
          <w:sz w:val="20"/>
        </w:rPr>
      </w:pPr>
      <w:r>
        <w:rPr>
          <w:rFonts w:ascii="Times New Roman" w:hAnsi="Times New Roman"/>
          <w:sz w:val="20"/>
        </w:rPr>
        <w:t xml:space="preserve">(b) a copy of the resolution or resolutions of the Board of Directors in or pursuant to which the terms and form of the Securities were established, certified by the Secretary or an Assistant Secretary of the Company to have been duly adopted by the Board of Directors and to be in full force and effect as of the date of such certificate, and if the terms and form of such Securities are established by an Officers’ Certificate pursuant to general authorization of the Board of Directors, such Officers’ Certificate; </w:t>
      </w:r>
    </w:p>
    <w:p>
      <w:pPr>
        <w:pStyle w:val="TextBody"/>
        <w:bidi w:val="0"/>
        <w:spacing w:before="120" w:after="0"/>
        <w:jc w:val="left"/>
        <w:rPr>
          <w:rFonts w:ascii="Times New Roman" w:hAnsi="Times New Roman"/>
          <w:sz w:val="20"/>
        </w:rPr>
      </w:pPr>
      <w:r>
        <w:rPr>
          <w:rFonts w:ascii="Times New Roman" w:hAnsi="Times New Roman"/>
          <w:sz w:val="20"/>
        </w:rPr>
        <w:t xml:space="preserve">(c) an Officers’ Certificate of the Company delivered in accordance with Section 12.04; and </w:t>
      </w:r>
    </w:p>
    <w:p>
      <w:pPr>
        <w:pStyle w:val="TextBody"/>
        <w:bidi w:val="0"/>
        <w:spacing w:before="120" w:after="0"/>
        <w:jc w:val="left"/>
        <w:rPr>
          <w:rFonts w:ascii="Times New Roman" w:hAnsi="Times New Roman"/>
          <w:sz w:val="20"/>
        </w:rPr>
      </w:pPr>
      <w:r>
        <w:rPr>
          <w:rFonts w:ascii="Times New Roman" w:hAnsi="Times New Roman"/>
          <w:sz w:val="20"/>
        </w:rPr>
        <w:t xml:space="preserve">(d) an Opinion of Counsel delivered in accordance with Section 12.04.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have the right to decline to authenticate and deliver any Securities under this Section if the Trustee, being advised by counsel, determines that such action may not lawfully be taken or if the Trustee in good faith shall determine that such action would expose the Trustee to personal liability to existing Holders.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2.03 </w:t>
      </w:r>
      <w:r>
        <w:rPr>
          <w:rFonts w:ascii="Times New Roman" w:hAnsi="Times New Roman"/>
          <w:b/>
          <w:sz w:val="20"/>
          <w:u w:val="single"/>
        </w:rPr>
        <w:t>Registrar and Paying Agent.</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The Company shall maintain an office or agency where Securities may be presented for registration of transfer or where Securities of a Series that are convertible or exchangeable may be surrendered for conversion or exchange (“</w:t>
      </w:r>
      <w:r>
        <w:rPr>
          <w:rFonts w:ascii="Times New Roman" w:hAnsi="Times New Roman"/>
          <w:b/>
          <w:sz w:val="20"/>
        </w:rPr>
        <w:t>Registrar</w:t>
      </w:r>
      <w:r>
        <w:rPr>
          <w:rFonts w:ascii="Times New Roman" w:hAnsi="Times New Roman"/>
          <w:sz w:val="20"/>
        </w:rPr>
        <w:t>”), an office or agency where Securities may be presented for payment (“</w:t>
      </w:r>
      <w:r>
        <w:rPr>
          <w:rFonts w:ascii="Times New Roman" w:hAnsi="Times New Roman"/>
          <w:b/>
          <w:sz w:val="20"/>
        </w:rPr>
        <w:t>Paying Agent</w:t>
      </w:r>
      <w:r>
        <w:rPr>
          <w:rFonts w:ascii="Times New Roman" w:hAnsi="Times New Roman"/>
          <w:sz w:val="20"/>
        </w:rPr>
        <w:t>”) and an office or agency where notices and demands to or upon the Company in respect of the Securities and this Indenture may be served. The Registrar shall keep a register of the Securities and of their transfer and exchange (the “</w:t>
      </w:r>
      <w:r>
        <w:rPr>
          <w:rFonts w:ascii="Times New Roman" w:hAnsi="Times New Roman"/>
          <w:b/>
          <w:sz w:val="20"/>
        </w:rPr>
        <w:t>Security Register</w:t>
      </w:r>
      <w:r>
        <w:rPr>
          <w:rFonts w:ascii="Times New Roman" w:hAnsi="Times New Roman"/>
          <w:sz w:val="20"/>
        </w:rPr>
        <w:t xml:space="preserve">”). The Company may have one or more co-Registrars and one or more additional paying agents. The term “Paying Agent” includes any additional paying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shall enter into an appropriate agency agreement with any Agent not a party to this Base Indenture. The agreement shall implement the provisions of this Indenture that relate to such Agent. The Company shall promptly notify the Trustee in writing of the name and address of any such Agent and the Trustee shall have the right to inspect the Securities Register at all reasonable times to obtain copies thereof, and the Trustee shall have the right to rely upon such register as to the names and addresses of the Holders and the principal amounts and certificate numbers thereof. If the Company fails to maintain a Registrar or Paying Agent or fails to give the foregoing notice, the Trustee shall act as such. </w:t>
      </w:r>
    </w:p>
    <w:p>
      <w:pPr>
        <w:pStyle w:val="TextBody"/>
        <w:bidi w:val="0"/>
        <w:spacing w:before="240" w:after="0"/>
        <w:jc w:val="left"/>
        <w:rPr>
          <w:rFonts w:ascii="Times New Roman" w:hAnsi="Times New Roman"/>
          <w:sz w:val="20"/>
        </w:rPr>
      </w:pPr>
      <w:r>
        <w:rPr>
          <w:rFonts w:ascii="Times New Roman" w:hAnsi="Times New Roman"/>
          <w:sz w:val="20"/>
        </w:rPr>
        <w:t xml:space="preserve">The Company initially appoints the Trustee as Registrar and Paying Agent.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2.04 </w:t>
      </w:r>
      <w:r>
        <w:rPr>
          <w:rFonts w:ascii="Times New Roman" w:hAnsi="Times New Roman"/>
          <w:b/>
          <w:sz w:val="20"/>
          <w:u w:val="single"/>
        </w:rPr>
        <w:t>Paying Agent to Hold Money in Trust.</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Paying Agent shall hold in trust for the benefit of Securityholders and the Trustee all money held by the Paying Agent for the payment of principal of or interest on the Securities, and shall notify the Trustee of any default by the Company in making any such payment. If the Company or a Subsidiary acts as Paying Agent, it shall segregate the money and hold it as a separate trust fund. The Company at any time may require a Paying Agent to pay all money held by it to the Trustee. Upon doing so the Paying Agent shall have no further liability for the money.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2.05 </w:t>
      </w:r>
      <w:r>
        <w:rPr>
          <w:rFonts w:ascii="Times New Roman" w:hAnsi="Times New Roman"/>
          <w:b/>
          <w:sz w:val="20"/>
          <w:u w:val="single"/>
        </w:rPr>
        <w:t>Securityholder Lists.</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preserve in as current a form as is reasonably practicable the most recent list available to it of the names and addresses of Securityholders. If the Trustee is not the Registrar, the Company shall furnish to the Trustee at least five (5) Business Days before each semiannual interest payment date and at such other times as the Trustee may request in writing a list in such form and as of such date as the Trustee may reasonably require of the names and addresses of Securityholders.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2.06 </w:t>
      </w:r>
      <w:r>
        <w:rPr>
          <w:rFonts w:ascii="Times New Roman" w:hAnsi="Times New Roman"/>
          <w:b/>
          <w:sz w:val="20"/>
          <w:u w:val="single"/>
        </w:rPr>
        <w:t>Transfer and Exchange.</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Where a Security is presented to the Registrar or a co-Registrar with a request to register a transfer, the Registrar shall register the transfer as requested if the requirements of Section 8-401(a) of the NYUCC are met and the other provisions of this </w:t>
      </w:r>
      <w:r>
        <w:rPr>
          <w:rFonts w:ascii="Times New Roman" w:hAnsi="Times New Roman"/>
          <w:sz w:val="20"/>
          <w:u w:val="single"/>
        </w:rPr>
        <w:t>Section 2.06</w:t>
      </w:r>
      <w:r>
        <w:rPr>
          <w:rFonts w:ascii="Times New Roman" w:hAnsi="Times New Roman"/>
          <w:sz w:val="20"/>
        </w:rPr>
        <w:t xml:space="preserve"> are satisfied. Where Securities are presented to the Registrar or a co-Registrar with a request to exchange them for an equal principal amount of Securities of other denominations, the Registrar shall make the exchange as requested if the same requirements are met. To permit transfers and exchanges, the Trustee shall authenticate Securities at the Registrar’s request. The Registrar need not transfer or exchange any Security selected for redemption or repurchase, except the unredeemed or repurchased part thereof if the Security is redeemed or repurchased in part, or transfer or exchange any Securities for a period of 15 days before a selection of Securities to be redeemed or repurchased. Any exchange or transfer shall be without charge, except that the Company may require payment of a sum sufficient to cover any tax or other governmental charge that may be imposed in relation thereto except in the case of exchanges pursuant to </w:t>
      </w:r>
      <w:r>
        <w:rPr>
          <w:rFonts w:ascii="Times New Roman" w:hAnsi="Times New Roman"/>
          <w:sz w:val="20"/>
          <w:u w:val="single"/>
        </w:rPr>
        <w:t>2.09</w:t>
      </w:r>
      <w:r>
        <w:rPr>
          <w:rFonts w:ascii="Times New Roman" w:hAnsi="Times New Roman"/>
          <w:sz w:val="20"/>
        </w:rPr>
        <w:t xml:space="preserve">, </w:t>
      </w:r>
      <w:r>
        <w:rPr>
          <w:rFonts w:ascii="Times New Roman" w:hAnsi="Times New Roman"/>
          <w:sz w:val="20"/>
          <w:u w:val="single"/>
        </w:rPr>
        <w:t>3.06</w:t>
      </w:r>
      <w:r>
        <w:rPr>
          <w:rFonts w:ascii="Times New Roman" w:hAnsi="Times New Roman"/>
          <w:sz w:val="20"/>
        </w:rPr>
        <w:t xml:space="preserve">, or </w:t>
      </w:r>
      <w:r>
        <w:rPr>
          <w:rFonts w:ascii="Times New Roman" w:hAnsi="Times New Roman"/>
          <w:sz w:val="20"/>
          <w:u w:val="single"/>
        </w:rPr>
        <w:t>10.05</w:t>
      </w:r>
      <w:r>
        <w:rPr>
          <w:rFonts w:ascii="Times New Roman" w:hAnsi="Times New Roman"/>
          <w:sz w:val="20"/>
        </w:rPr>
        <w:t xml:space="preserve"> not involving any transfer. </w:t>
      </w:r>
    </w:p>
    <w:p>
      <w:pPr>
        <w:pStyle w:val="TextBody"/>
        <w:bidi w:val="0"/>
        <w:spacing w:before="240" w:after="0"/>
        <w:jc w:val="left"/>
        <w:rPr>
          <w:rFonts w:ascii="Times New Roman" w:hAnsi="Times New Roman"/>
          <w:sz w:val="20"/>
        </w:rPr>
      </w:pPr>
      <w:r>
        <w:rPr>
          <w:rFonts w:ascii="Times New Roman" w:hAnsi="Times New Roman"/>
          <w:sz w:val="20"/>
        </w:rPr>
        <w:t xml:space="preserve">Any Holder of a Global Security shall, by acceptance of such Global Security, agree that transfers of beneficial interests in such Global Security may be effected only through a book entry system maintained by the Holder of such Global Security (or its agent), and that ownership of a beneficial interest in the Security shall be required to be reflected in a book entry.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2.07 </w:t>
      </w:r>
      <w:r>
        <w:rPr>
          <w:rFonts w:ascii="Times New Roman" w:hAnsi="Times New Roman"/>
          <w:b/>
          <w:sz w:val="20"/>
          <w:u w:val="single"/>
        </w:rPr>
        <w:t>Replacement Securities.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the Holder of a Security claims that the Security has been lost, destroyed, mutilated or wrongfully taken, the Company shall issue and execute a replacement security and, upon written request of any Officer of the Company, the Trustee shall authenticate such replacement Security, </w:t>
      </w:r>
      <w:r>
        <w:rPr>
          <w:rFonts w:ascii="Times New Roman" w:hAnsi="Times New Roman"/>
          <w:i/>
          <w:sz w:val="20"/>
        </w:rPr>
        <w:t>provided</w:t>
      </w:r>
      <w:r>
        <w:rPr>
          <w:rFonts w:ascii="Times New Roman" w:hAnsi="Times New Roman"/>
          <w:sz w:val="20"/>
        </w:rPr>
        <w:t xml:space="preserve">, in the case of a lost, destroyed or wrongfully taken Security, that the requirements of Section 8-405 of the NYUCC are met. If any such lost, destroyed, mutilated or wrongfully taken Security shall have matured or shall be about to mature, the Company may, instead of issuing a substitute Security therefor, pay such Security without requiring (except in the case of a mutilated Security) the surrender thereof. An indemnity bond must be sufficient in the judgment of the Company and the Trustee to protect the Company, the Trustee and any Agent from any loss which any of them may suffer if a Security is replaced, including the acquisition of such Security by a bona fide purchaser. The Company and the Trustee may charge for its expenses in replacing a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2.08 </w:t>
      </w:r>
      <w:r>
        <w:rPr>
          <w:rFonts w:ascii="Times New Roman" w:hAnsi="Times New Roman"/>
          <w:b/>
          <w:sz w:val="20"/>
          <w:u w:val="single"/>
        </w:rPr>
        <w:t>Outstanding Securities.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Securities outstanding at any time are all Securities authenticated by the Trustee except for those cancelled by it and those described in this Section. A Security does not cease to be outstanding because the Company or one of its Affiliates holds the Security. </w:t>
      </w:r>
    </w:p>
    <w:p>
      <w:pPr>
        <w:pStyle w:val="TextBody"/>
        <w:bidi w:val="0"/>
        <w:spacing w:before="240" w:after="0"/>
        <w:jc w:val="left"/>
        <w:rPr>
          <w:rFonts w:ascii="Times New Roman" w:hAnsi="Times New Roman"/>
          <w:sz w:val="20"/>
        </w:rPr>
      </w:pPr>
      <w:r>
        <w:rPr>
          <w:rFonts w:ascii="Times New Roman" w:hAnsi="Times New Roman"/>
          <w:sz w:val="20"/>
        </w:rPr>
        <w:t xml:space="preserve">If a Security is replaced pursuant to </w:t>
      </w:r>
      <w:r>
        <w:rPr>
          <w:rFonts w:ascii="Times New Roman" w:hAnsi="Times New Roman"/>
          <w:sz w:val="20"/>
          <w:u w:val="single"/>
        </w:rPr>
        <w:t>Section 2.07</w:t>
      </w:r>
      <w:r>
        <w:rPr>
          <w:rFonts w:ascii="Times New Roman" w:hAnsi="Times New Roman"/>
          <w:sz w:val="20"/>
        </w:rPr>
        <w:t xml:space="preserve">, it ceases to be outstanding unless the Trustee receives proof satisfactory to it that the replaced Security is held by a “protected purchaser” (as such term is defined in the NYUCC). </w:t>
      </w:r>
    </w:p>
    <w:p>
      <w:pPr>
        <w:pStyle w:val="TextBody"/>
        <w:bidi w:val="0"/>
        <w:spacing w:before="240" w:after="0"/>
        <w:jc w:val="left"/>
        <w:rPr>
          <w:rFonts w:ascii="Times New Roman" w:hAnsi="Times New Roman"/>
          <w:sz w:val="20"/>
        </w:rPr>
      </w:pPr>
      <w:r>
        <w:rPr>
          <w:rFonts w:ascii="Times New Roman" w:hAnsi="Times New Roman"/>
          <w:sz w:val="20"/>
        </w:rPr>
        <w:t xml:space="preserve">If the Paying Agent holds on a redemption date, purchase date or maturity date money sufficient to pay Securities payable on that date, then on and after that date such Securities cease to be outstanding and interest on them ceases to accrue.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foregoing provisions of this Section, each Security delivered under this Indenture upon registration of transfer of or in exchange for or in lieu of any other Security shall carry the rights to interest accrued and unpaid, and to accrue, which were carried by such other Security.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2.09 </w:t>
      </w:r>
      <w:r>
        <w:rPr>
          <w:rFonts w:ascii="Times New Roman" w:hAnsi="Times New Roman"/>
          <w:b/>
          <w:sz w:val="20"/>
          <w:u w:val="single"/>
        </w:rPr>
        <w:t>Temporary Securities.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Until Definitive Securities are ready for delivery, the Company may prepare and the Trustee shall authenticate temporary Securities. Temporary Securities shall be substantially in the form of Definitive Securities but may have variations that the Company considers appropriate for temporary Securities. Without unreasonable delay, the Company shall prepare and, upon surrender for cancellation of the temporary Security, the Company shall execute and the Trustee shall authenticate Definitive Securities in exchange for temporary Securities. Until so exchanged, the temporary Securities shall in all respects be entitled to the same benefits under this Indenture as Definitive Securities authenticated and delivered hereunder.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2.10 </w:t>
      </w:r>
      <w:r>
        <w:rPr>
          <w:rFonts w:ascii="Times New Roman" w:hAnsi="Times New Roman"/>
          <w:b/>
          <w:sz w:val="20"/>
          <w:u w:val="single"/>
        </w:rPr>
        <w:t>Cancellation.</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at any time may deliver Securities to the Trustee for cancellation. The Registrar and Paying Agent shall forward to the Trustee any Securities surrendered to them for registration of transfer, exchange, redemption, purchase or payment. The Trustee and no one else shall cancel and dispose of such cancelled or tendered securities, or retain in accordance with its standard retention policy, all Securities surrendered for registration of transfer, exchange, redemption, purchase, payment or cancellation. Unless the Authorizing Resolution or supplemental indenture so provides, the Company may not issue new Securities to replace Securities that it has previously paid or delivered to the Trustee for cancellation.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2.11 </w:t>
      </w:r>
      <w:r>
        <w:rPr>
          <w:rFonts w:ascii="Times New Roman" w:hAnsi="Times New Roman"/>
          <w:b/>
          <w:sz w:val="20"/>
          <w:u w:val="single"/>
        </w:rPr>
        <w:t>Defaulted Interest.</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the Company defaults in a payment of interest on the Securities of any Series, it shall pay the defaulted interest </w:t>
      </w:r>
      <w:r>
        <w:rPr>
          <w:rFonts w:ascii="Times New Roman" w:hAnsi="Times New Roman"/>
          <w:i/>
          <w:sz w:val="20"/>
        </w:rPr>
        <w:t>plus</w:t>
      </w:r>
      <w:r>
        <w:rPr>
          <w:rFonts w:ascii="Times New Roman" w:hAnsi="Times New Roman"/>
          <w:sz w:val="20"/>
        </w:rPr>
        <w:t xml:space="preserve"> any interest payable on the defaulted interest to the persons who are Securityholders of such Series on a subsequent special record date. The Company shall fix such special record date and a payment date which shall be reasonably satisfactory to the Trustee. At least 15 days before such special record date, the Company shall mail to each Securityholder of the relevant Series a notice that states the record date, the payment date and the amount of defaulted interest to be paid. On or before the date such notice is mailed, the Company shall deposit with the Paying Agent money sufficient to pay the amount of defaulted interest to be so paid. The Company may pay defaulted interest in any other lawful manner if, after notice given by the Company to the Trustee of the proposed payment, such manner of payment shall be deemed practicable by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2.12 </w:t>
      </w:r>
      <w:r>
        <w:rPr>
          <w:rFonts w:ascii="Times New Roman" w:hAnsi="Times New Roman"/>
          <w:b/>
          <w:sz w:val="20"/>
          <w:u w:val="single"/>
        </w:rPr>
        <w:t>Treasury Securities.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determining whether the Holders of the required principal amount of Securities of a Series have concurred in any direction, waiver, consent or notice, Securities owned by the Company or any of its Affiliates shall be considered as though they are not outstanding, except that for the purposes of determining whether the Trustee shall be protected in relying on any such direction, waiver or consent, only Securities which a Trust Officer of the Trustee actually knows are so owned shall be so considered.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2.13 </w:t>
      </w:r>
      <w:r>
        <w:rPr>
          <w:rFonts w:ascii="Times New Roman" w:hAnsi="Times New Roman"/>
          <w:b/>
          <w:sz w:val="20"/>
          <w:u w:val="single"/>
        </w:rPr>
        <w:t>CUSIP/ISIN Numbers.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in issuing the Securities of any Series may use a “CUSIP” and/or “ISIN” or other similar number, and if so, the Trustee shall use the CUSIP and/or ISIN or other similar number in notices of redemption or exchange as a convenience to Holders of such Securities; </w:t>
      </w:r>
      <w:r>
        <w:rPr>
          <w:rFonts w:ascii="Times New Roman" w:hAnsi="Times New Roman"/>
          <w:i/>
          <w:sz w:val="20"/>
        </w:rPr>
        <w:t>provided</w:t>
      </w:r>
      <w:r>
        <w:rPr>
          <w:rFonts w:ascii="Times New Roman" w:hAnsi="Times New Roman"/>
          <w:sz w:val="20"/>
        </w:rPr>
        <w:t xml:space="preserve"> that no representation is hereby deemed to be made by the Trustee as to the correctness or accuracy of any such CUSIP and/or ISIN or other similar number printed in the notice or on such Securities, and that reliance may be placed only on the other identification numbers printed on such Securities. The Company shall promptly notify the Trustee of any change in any CUSIP and/or ISIN or other similar number.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2.14 </w:t>
      </w:r>
      <w:r>
        <w:rPr>
          <w:rFonts w:ascii="Times New Roman" w:hAnsi="Times New Roman"/>
          <w:b/>
          <w:sz w:val="20"/>
          <w:u w:val="single"/>
        </w:rPr>
        <w:t>Deposit of Moneys.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Prior to 11:00 a.m., New York City time, on each interest payment date and maturity date with respect to each Series of Securities, the Company shall have deposited with the Paying Agent in immediately available funds money in the applicable currency sufficient to make cash payments due on such interest payment date or maturity date, as the case may be, in a timely manner which permits the Paying Agent to remit payment to the Holders of such Series on such interest payment date or maturity date, as the case may be.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2.15 </w:t>
      </w:r>
      <w:r>
        <w:rPr>
          <w:rFonts w:ascii="Times New Roman" w:hAnsi="Times New Roman"/>
          <w:b/>
          <w:sz w:val="20"/>
          <w:u w:val="single"/>
        </w:rPr>
        <w:t>Book-Entry Provisions for Global Security.</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Any Global Security of a Series initially shall (i) be registered in the name of the Depositary or the nominee of such Depositary, (ii) be delivered to the Trustee as custodian for such Depositary and (iii) bear any required legends. </w:t>
      </w:r>
    </w:p>
    <w:p>
      <w:pPr>
        <w:pStyle w:val="TextBody"/>
        <w:bidi w:val="0"/>
        <w:spacing w:before="240" w:after="0"/>
        <w:jc w:val="left"/>
        <w:rPr>
          <w:rFonts w:ascii="Times New Roman" w:hAnsi="Times New Roman"/>
          <w:sz w:val="20"/>
        </w:rPr>
      </w:pPr>
      <w:r>
        <w:rPr>
          <w:rFonts w:ascii="Times New Roman" w:hAnsi="Times New Roman"/>
          <w:sz w:val="20"/>
        </w:rPr>
        <w:t>Members of, or participants in, the Depositary (“</w:t>
      </w:r>
      <w:r>
        <w:rPr>
          <w:rFonts w:ascii="Times New Roman" w:hAnsi="Times New Roman"/>
          <w:b/>
          <w:sz w:val="20"/>
        </w:rPr>
        <w:t>Agent Members</w:t>
      </w:r>
      <w:r>
        <w:rPr>
          <w:rFonts w:ascii="Times New Roman" w:hAnsi="Times New Roman"/>
          <w:sz w:val="20"/>
        </w:rPr>
        <w:t xml:space="preserve">”) shall have no rights under this Indenture with respect to any Global Security held on their behalf by the Depositary, or the Trustee as its custodian, or under the Global Security, and the Depositary may be treated by the Company, the Trustee and any agent of the Company or the Trustee as the absolute owner of the Global Security for all purposes whatsoever. Notwithstanding the foregoing, nothing herein shall prevent the Company, the Trustee or any agent of the Company or the Trustee from giving effect to any written certification, proxy or other authorization furnished by the Depositary or impair, as between the Depositary and its Agent Members, the operation of customary practices governing the exercise of the rights of a Holder of any Security. </w:t>
      </w:r>
    </w:p>
    <w:p>
      <w:pPr>
        <w:pStyle w:val="TextBody"/>
        <w:bidi w:val="0"/>
        <w:spacing w:before="240" w:after="0"/>
        <w:jc w:val="left"/>
        <w:rPr>
          <w:rFonts w:ascii="Times New Roman" w:hAnsi="Times New Roman"/>
          <w:sz w:val="20"/>
        </w:rPr>
      </w:pPr>
      <w:r>
        <w:rPr>
          <w:rFonts w:ascii="Times New Roman" w:hAnsi="Times New Roman"/>
          <w:sz w:val="20"/>
        </w:rPr>
        <w:t xml:space="preserve">(b) Transfers of any Global Security shall be limited to transfers in whole, but not in part, to the Depositary, its successors or their respective nominees. Interests of beneficial owners in the Global Security may be transferred or exchanged for Definitive Securities in accordance with the rules and procedures of the Depositary. In addition, Definitive Securities shall be transferred to all beneficial owners in exchange for their beneficial interests in a Global Security if (i) the Depositary notifies the Company that it is unwilling or unable to continue as Depositary for the Global Security or the Depositary has ceased to be a “clearing agency” registered under the Exchange Act, and a successor depository is not appointed by the Company within 90 days of such notice, or (ii) the Company elects, at any time in its sole discretion, to discontinue use of the system of book entry transfer through any Depositary. Any Security that is held in the form of a Global Security and that is exchanged pursuant to clause (i) above shall be so exchanged in whole and not in part, and any Security that is held in the form of a Global Security and that is exchanged pursuant to clause (ii) above may be exchanged in whole or from time to time in part as directed by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In connection with any transfer or exchange of a portion of the beneficial interest in any Global Security to beneficial owners pursuant to </w:t>
      </w:r>
      <w:r>
        <w:rPr>
          <w:rFonts w:ascii="Times New Roman" w:hAnsi="Times New Roman"/>
          <w:sz w:val="20"/>
          <w:u w:val="single"/>
        </w:rPr>
        <w:t>paragraph (b)</w:t>
      </w:r>
      <w:r>
        <w:rPr>
          <w:rFonts w:ascii="Times New Roman" w:hAnsi="Times New Roman"/>
          <w:sz w:val="20"/>
        </w:rPr>
        <w:t xml:space="preserve">, the Registrar shall (if one or more Definitive Securities are to be issued) reflect on its books and records the date and a decrease in the principal amount of the Global Security in an amount equal to the principal amount of the beneficial interest in the Global Security to be transferred, and the Company shall execute, and the Trustee shall authenticate and deliver, one or more Definitive Securities of like Series and amount. </w:t>
      </w:r>
    </w:p>
    <w:p>
      <w:pPr>
        <w:pStyle w:val="TextBody"/>
        <w:bidi w:val="0"/>
        <w:spacing w:before="240" w:after="0"/>
        <w:jc w:val="left"/>
        <w:rPr>
          <w:rFonts w:ascii="Times New Roman" w:hAnsi="Times New Roman"/>
          <w:sz w:val="20"/>
        </w:rPr>
      </w:pPr>
      <w:r>
        <w:rPr>
          <w:rFonts w:ascii="Times New Roman" w:hAnsi="Times New Roman"/>
          <w:sz w:val="20"/>
        </w:rPr>
        <w:t xml:space="preserve">(d) In connection with the transfer of an entire Global Security to beneficial owners pursuant to </w:t>
      </w:r>
      <w:r>
        <w:rPr>
          <w:rFonts w:ascii="Times New Roman" w:hAnsi="Times New Roman"/>
          <w:sz w:val="20"/>
          <w:u w:val="single"/>
        </w:rPr>
        <w:t>paragraph (b)</w:t>
      </w:r>
      <w:r>
        <w:rPr>
          <w:rFonts w:ascii="Times New Roman" w:hAnsi="Times New Roman"/>
          <w:sz w:val="20"/>
        </w:rPr>
        <w:t xml:space="preserve">, the Global Security shall be deemed to be surrendered to the Trustee for cancellation, and the Company shall execute, and the Trustee shall authenticate and deliver, to each beneficial owner identified by the Depositary in exchange for its beneficial interest in the Global Security, an equal aggregate principal amount of Definitive Securities of the same Series in authorized denominations. </w:t>
      </w:r>
    </w:p>
    <w:p>
      <w:pPr>
        <w:pStyle w:val="TextBody"/>
        <w:bidi w:val="0"/>
        <w:spacing w:before="240" w:after="0"/>
        <w:jc w:val="left"/>
        <w:rPr>
          <w:rFonts w:ascii="Times New Roman" w:hAnsi="Times New Roman"/>
          <w:sz w:val="20"/>
        </w:rPr>
      </w:pPr>
      <w:r>
        <w:rPr>
          <w:rFonts w:ascii="Times New Roman" w:hAnsi="Times New Roman"/>
          <w:sz w:val="20"/>
        </w:rPr>
        <w:t xml:space="preserve">(e) The Holder of any Global Security may grant proxies and otherwise authorize any person, including Agent Members and persons that may hold interests through Agent Members, to take any action which a Holder is entitled to take under this Indenture or the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(f) Unless otherwise provided in the Authorizing Resolution or supplemental indenture for a particular Series of Securities, each Global Security of such Series shall bear legends in substantially the following forms: </w:t>
      </w:r>
    </w:p>
    <w:p>
      <w:pPr>
        <w:pStyle w:val="TextBody"/>
        <w:bidi w:val="0"/>
        <w:spacing w:before="240" w:after="0"/>
        <w:jc w:val="left"/>
        <w:rPr/>
      </w:pPr>
      <w:r>
        <w:rPr/>
        <w:t>“</w:t>
      </w:r>
      <w:r>
        <w:rPr>
          <w:rFonts w:ascii="Times New Roman" w:hAnsi="Times New Roman"/>
          <w:sz w:val="20"/>
        </w:rPr>
        <w:t xml:space="preserve">THIS GLOBAL SECURITY IS HELD BY THE DEPOSITARY (AS DEFINED IN THE INDENTURE GOVERNING THIS SECURITY) OR ITS NOMINEE IN CUSTODY FOR THE BENEFIT OF THE HOLDERS OF BENEFICIAL INTERESTS HEREIN, AND IS NOT TRANSFERABLE TO ANY PERSON UNDER ANY CIRCUMSTANCES EXCEPT THAT (I) THE TRUSTEE MAY MAKE ANY SUCH NOTATIONS HEREON AS MAY BE REQUIRED PURSUANT TO THE INDENTURE, (II) THIS GLOBAL SECURITY MAY BE EXCHANGED IN WHOLE BUT NOT IN PART PURSUANT TO SECTION 2.06 AND SECTION 2.15 OF THE INDENTURE, (III) THIS GLOBAL SECURITY MAY BE DELIVERED TO THE TRUSTEE FOR CANCELLATION PURSUANT TO THE INDENTURE AND (IV) THIS GLOBAL SECURITY MAY BE TRANSFERRED TO A SUCCESSOR DEPOSITARY WITH THE PRIOR WRITTEN CONSENT OF THE COMPANY.” </w:t>
      </w:r>
    </w:p>
    <w:p>
      <w:pPr>
        <w:pStyle w:val="TextBody"/>
        <w:bidi w:val="0"/>
        <w:spacing w:before="240" w:after="0"/>
        <w:jc w:val="left"/>
        <w:rPr/>
      </w:pPr>
      <w:r>
        <w:rPr/>
        <w:t>“</w:t>
      </w:r>
      <w:r>
        <w:rPr>
          <w:rFonts w:ascii="Times New Roman" w:hAnsi="Times New Roman"/>
          <w:sz w:val="20"/>
        </w:rPr>
        <w:t xml:space="preserve">UNLESS AND UNTIL IT IS EXCHANGED IN WHOLE OR IN PART FOR SECURITIES IN DEFINITIVE FORM, THIS SECURITY MAY NOT BE TRANSFERRED EXCEPT AS A WHOLE BY THE DEPOSITARY TO A NOMINEE OF THE DEPOSITARY OR BY A NOMINEE OF THE DEPOSITARY TO THE DEPOSITARY OR TO ANOTHER NOMINEE OF THE DEPOSITARY OR BY THE DEPOSITARY OR ANY SUCH NOMINEE TO A SUCCESSOR DEPOSITARY OR A NOMINEE OF SUCH SUCCESSOR DEPOSITARY. UNLESS THIS CERTIFICATE IS PRESENTED BY AN AUTHORIZED REPRESENTATIVE OF THE DEPOSITORY TRUST COMPANY, A NEW YORK CORPORATION (“DTC”), TO ISSUER OR ITS AGENT FOR REGISTRATION OF TRANSFER, EXCHANGE, OR PAYMENT,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2.16 </w:t>
      </w:r>
      <w:r>
        <w:rPr>
          <w:rFonts w:ascii="Times New Roman" w:hAnsi="Times New Roman"/>
          <w:b/>
          <w:sz w:val="20"/>
          <w:u w:val="single"/>
        </w:rPr>
        <w:t>No Duty to Monitor.</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Agent Members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 </w:t>
      </w:r>
    </w:p>
    <w:p>
      <w:pPr>
        <w:pStyle w:val="TextBody"/>
        <w:bidi w:val="0"/>
        <w:spacing w:before="240" w:after="0"/>
        <w:jc w:val="left"/>
        <w:rPr>
          <w:rFonts w:ascii="Times New Roman" w:hAnsi="Times New Roman"/>
          <w:sz w:val="20"/>
        </w:rPr>
      </w:pPr>
      <w:r>
        <w:rPr>
          <w:rFonts w:ascii="Times New Roman" w:hAnsi="Times New Roman"/>
          <w:sz w:val="20"/>
        </w:rPr>
        <w:t xml:space="preserve">Neither the Trustee nor any Agent shall have any responsibility for any actions taken or not taken by the Depositary.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THREE </w:t>
      </w:r>
    </w:p>
    <w:p>
      <w:pPr>
        <w:pStyle w:val="TextBody"/>
        <w:bidi w:val="0"/>
        <w:spacing w:before="0" w:after="0"/>
        <w:jc w:val="center"/>
        <w:rPr>
          <w:rFonts w:ascii="Times New Roman" w:hAnsi="Times New Roman"/>
          <w:b/>
          <w:sz w:val="20"/>
        </w:rPr>
      </w:pPr>
      <w:r>
        <w:rPr>
          <w:rFonts w:ascii="Times New Roman" w:hAnsi="Times New Roman"/>
          <w:b/>
          <w:sz w:val="20"/>
        </w:rPr>
        <w:t xml:space="preserve">REDEMPTION </w:t>
      </w:r>
    </w:p>
    <w:p>
      <w:pPr>
        <w:pStyle w:val="TextBody"/>
        <w:bidi w:val="0"/>
        <w:spacing w:before="240" w:after="0"/>
        <w:jc w:val="left"/>
        <w:rPr>
          <w:rFonts w:ascii="Times New Roman" w:hAnsi="Times New Roman"/>
          <w:b/>
          <w:sz w:val="20"/>
        </w:rPr>
      </w:pPr>
      <w:r>
        <w:rPr>
          <w:rFonts w:ascii="Times New Roman" w:hAnsi="Times New Roman"/>
          <w:b/>
          <w:sz w:val="20"/>
        </w:rPr>
        <w:t xml:space="preserve">Section 3.01 </w:t>
      </w:r>
      <w:r>
        <w:rPr>
          <w:rFonts w:ascii="Times New Roman" w:hAnsi="Times New Roman"/>
          <w:b/>
          <w:sz w:val="20"/>
          <w:u w:val="single"/>
        </w:rPr>
        <w:t>Notices to Trustee.</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Securities of a Series that are redeemable prior to maturity shall be redeemable in accordance with their terms and, unless the Authorizing Resolution or supplemental indenture provides otherwise, in accordance with this </w:t>
      </w:r>
      <w:r>
        <w:rPr>
          <w:rFonts w:ascii="Times New Roman" w:hAnsi="Times New Roman"/>
          <w:sz w:val="20"/>
          <w:u w:val="single"/>
        </w:rPr>
        <w:t>Article Three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wants to redeem Securities pursuant to </w:t>
      </w:r>
      <w:r>
        <w:rPr>
          <w:rFonts w:ascii="Times New Roman" w:hAnsi="Times New Roman"/>
          <w:sz w:val="20"/>
          <w:u w:val="single"/>
        </w:rPr>
        <w:t>Paragraph 4</w:t>
      </w:r>
      <w:r>
        <w:rPr>
          <w:rFonts w:ascii="Times New Roman" w:hAnsi="Times New Roman"/>
          <w:sz w:val="20"/>
        </w:rPr>
        <w:t xml:space="preserve"> of the Securities, it shall notify the Trustee in writing of the redemption date and the principal amount of Securities to be redeemed. Any such notice may be cancelled at any time prior to notice of such redemption being mailed to Holders. Any such cancelled notice shall be void and of no effect.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wants to credit any Securities previously redeemed, retired or acquired against any redemption pursuant to </w:t>
      </w:r>
      <w:r>
        <w:rPr>
          <w:rFonts w:ascii="Times New Roman" w:hAnsi="Times New Roman"/>
          <w:sz w:val="20"/>
          <w:u w:val="single"/>
        </w:rPr>
        <w:t>Paragraph 5</w:t>
      </w:r>
      <w:r>
        <w:rPr>
          <w:rFonts w:ascii="Times New Roman" w:hAnsi="Times New Roman"/>
          <w:sz w:val="20"/>
        </w:rPr>
        <w:t xml:space="preserve"> of the Securities, it shall notify the Trustee of the amount of the credit and it shall deliver any Securities not previously delivered to the Trustee for cancellation with such notice.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give each notice provided for in this </w:t>
      </w:r>
      <w:r>
        <w:rPr>
          <w:rFonts w:ascii="Times New Roman" w:hAnsi="Times New Roman"/>
          <w:sz w:val="20"/>
          <w:u w:val="single"/>
        </w:rPr>
        <w:t>Section 3.01</w:t>
      </w:r>
      <w:r>
        <w:rPr>
          <w:rFonts w:ascii="Times New Roman" w:hAnsi="Times New Roman"/>
          <w:sz w:val="20"/>
        </w:rPr>
        <w:t xml:space="preserve"> at least 30 days before the notice of any such redemption is to be delivered to Holders (unless a shorter notice shall be satisfactory to the Trustee).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3.02 </w:t>
      </w:r>
      <w:r>
        <w:rPr>
          <w:rFonts w:ascii="Times New Roman" w:hAnsi="Times New Roman"/>
          <w:b/>
          <w:sz w:val="20"/>
          <w:u w:val="single"/>
        </w:rPr>
        <w:t>Selection of Securities to be Redeemed.</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fewer than all of the Securities of a Series are to be redeemed, the Trustee (or depository, as applicable) shall select the Securities to be redeemed by lot, pro rata, or such other method the Trustee (or depository, as applicable) considers fair and appropriate and in a manner that complies with applicable requirements of the Depositary. The Trustee (or depository, as applicable) shall make the selection from Securities outstanding not previously called for redemption and shall promptly notify the Company of the serial numbers or other identifying attributes of the Securities so selected. The Trustee (or depository, as applicable) may select for redemption portions of the principal of Securities that have denominations larger than the minimum denomination for the Series. Securities and portions of them it selects shall be in amounts equal to a permissible denomination for the Series. Provisions of this Indenture that apply to Securities called for redemption also apply to portions of Securities called for redemption.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in the Authorizing Resolution or supplemental indenture relating to a Series, if any Security selected for partial redemption is converted into or exchanged for the Company’s Capital Stock or other securities, cash or other property in part before termination of the conversion or exchange right with respect to the portion of the Security so selected, the converted portion of such Security shall be deemed (so far as may be) to be the portion selected for redemption. Securities which have been converted or exchanged during a selection of Securities to be redeemed shall be treated by the Trustee as outstanding for the purpose of such selection.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3.03 </w:t>
      </w:r>
      <w:r>
        <w:rPr>
          <w:rFonts w:ascii="Times New Roman" w:hAnsi="Times New Roman"/>
          <w:b/>
          <w:sz w:val="20"/>
          <w:u w:val="single"/>
        </w:rPr>
        <w:t>Notice of Redemption.</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At least 30 days but not more than 60 days before a redemption date, the Company shall mail a notice of redemption by first-class mail, postage prepaid, to each Holder of Securities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The notice shall identify the Securities to be redeemed and shall state: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price or the formula pursuant to which such price will be calculated;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any Security is being redeemed in part, the portion of the principal amount of such Security to be redeemed and that, after the redemption date, upon surrender of such Security, a new Security or Securities in principal amount equal to the unredeemed portion shall be issued upon cancellation of the original Security;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Securities of a Series that are convertible or exchangeable into shares of the Company’s Capital Stock or other securities, cash or other property, the conversion or exchange price or rate, the date or dates on which the right to convert or exchange the principal of the Securities of such Series to be redeemed will commence or terminate and the place or places where such Securities may be surrendered for conversion or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and address of the Paying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Securities called for redemption must be surrendered to the Paying Agent to collect the redemption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interest on Securities called for redemption ceases to accrue on and after the redemption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Securities are being redeemed pursuant to the mandatory redemption or the optional redemption provisions, as applicable;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(9)</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CUSIP number and/or ISIN or other similar number used to identify the Securities, that no representation is hereby deemed to be made be made by the Trustee as to the correctness or accuracy of any such CUSIP and/or ISIN or other similar number printed in the notice or on such Securities, and that reliance may be placed only on the other identification numbers printed on such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At the Company’s request, the Trustee shall give the notice of redemption in the Company’s name and at its expense;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shall deliver to the Trustee at least 15 days prior to the date on which notice of redemption is to be mailed or such shorter period as may be satisfactory to the Trustee, an Officers’ Certificate requesting that the Trustee give such notice and setting forth the information to be stated in such notice as provided in the preceding paragraph. </w:t>
      </w:r>
    </w:p>
    <w:p>
      <w:pPr>
        <w:pStyle w:val="TextBody"/>
        <w:bidi w:val="0"/>
        <w:spacing w:before="360" w:after="0"/>
        <w:jc w:val="left"/>
        <w:rPr>
          <w:rFonts w:ascii="Times New Roman" w:hAnsi="Times New Roman"/>
          <w:b/>
          <w:sz w:val="20"/>
        </w:rPr>
      </w:pPr>
      <w:r>
        <w:rPr>
          <w:rFonts w:ascii="Times New Roman" w:hAnsi="Times New Roman"/>
          <w:b/>
          <w:sz w:val="20"/>
        </w:rPr>
        <w:t xml:space="preserve">Section 3.04 </w:t>
      </w:r>
      <w:r>
        <w:rPr>
          <w:rFonts w:ascii="Times New Roman" w:hAnsi="Times New Roman"/>
          <w:b/>
          <w:sz w:val="20"/>
          <w:u w:val="single"/>
        </w:rPr>
        <w:t>Effect of Notice of Redemption.</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Once notice of redemption is mailed, Securities called for redemption become due and payable on the redemption date and at the redemption price as set forth in the notice of redemption, which notice, and which obligation to redeem such Securities, may, at the Company’s discretion, be subject to one or more conditions precedent as set forth in such notice. Upon surrender to the Paying Agent, such Securities shall be paid at the redemption price, </w:t>
      </w:r>
      <w:r>
        <w:rPr>
          <w:rFonts w:ascii="Times New Roman" w:hAnsi="Times New Roman"/>
          <w:i/>
          <w:sz w:val="20"/>
        </w:rPr>
        <w:t>plus</w:t>
      </w:r>
      <w:r>
        <w:rPr>
          <w:rFonts w:ascii="Times New Roman" w:hAnsi="Times New Roman"/>
          <w:sz w:val="20"/>
        </w:rPr>
        <w:t xml:space="preserve"> accrued and unpaid interest to the redemption date.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3.05 </w:t>
      </w:r>
      <w:r>
        <w:rPr>
          <w:rFonts w:ascii="Times New Roman" w:hAnsi="Times New Roman"/>
          <w:b/>
          <w:sz w:val="20"/>
          <w:u w:val="single"/>
        </w:rPr>
        <w:t>Deposit of Redemption Price.</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On or before the redemption date, the Company shall deposit with the Paying Agent immediately available funds in the applicable currency sufficient to pay the redemption price of and accrued interest on all Securities to be redeemed on that date.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3.06 </w:t>
      </w:r>
      <w:r>
        <w:rPr>
          <w:rFonts w:ascii="Times New Roman" w:hAnsi="Times New Roman"/>
          <w:b/>
          <w:sz w:val="20"/>
          <w:u w:val="single"/>
        </w:rPr>
        <w:t>Securities Redeemed in Part.</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Upon surrender of a Security that is redeemed in part, the Company shall execute and the Trustee shall authenticate for each Holder a new Security of the same Series equal in principal amount to the unredeemed portion of the Security surrendered.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FOUR </w:t>
      </w:r>
    </w:p>
    <w:p>
      <w:pPr>
        <w:pStyle w:val="TextBody"/>
        <w:bidi w:val="0"/>
        <w:spacing w:before="0" w:after="0"/>
        <w:jc w:val="center"/>
        <w:rPr>
          <w:rFonts w:ascii="Times New Roman" w:hAnsi="Times New Roman"/>
          <w:b/>
          <w:sz w:val="20"/>
        </w:rPr>
      </w:pPr>
      <w:r>
        <w:rPr>
          <w:rFonts w:ascii="Times New Roman" w:hAnsi="Times New Roman"/>
          <w:b/>
          <w:sz w:val="20"/>
        </w:rPr>
        <w:t xml:space="preserve">COVENANTS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4.01 </w:t>
      </w:r>
      <w:r>
        <w:rPr>
          <w:rFonts w:ascii="Times New Roman" w:hAnsi="Times New Roman"/>
          <w:b/>
          <w:sz w:val="20"/>
          <w:u w:val="single"/>
        </w:rPr>
        <w:t>Payment of Securities.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shall pay the principal of, premium, if any, and interest on a Series on the dates, in the currency and in the manner provided in the Securities of the Series. An installment of principal, premium, if any, or interest shall be considered paid on the date it is due if the Paying Agent holds on that date money in the applicable currency designated for and sufficient to pay the installment.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4.02 </w:t>
      </w:r>
      <w:r>
        <w:rPr>
          <w:rFonts w:ascii="Times New Roman" w:hAnsi="Times New Roman"/>
          <w:b/>
          <w:sz w:val="20"/>
          <w:u w:val="single"/>
        </w:rPr>
        <w:t>Maintenance of Office or Agency.</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shall maintain the office or agency required under </w:t>
      </w:r>
      <w:r>
        <w:rPr>
          <w:rFonts w:ascii="Times New Roman" w:hAnsi="Times New Roman"/>
          <w:sz w:val="20"/>
          <w:u w:val="single"/>
        </w:rPr>
        <w:t>Section 2.03</w:t>
      </w:r>
      <w:r>
        <w:rPr>
          <w:rFonts w:ascii="Times New Roman" w:hAnsi="Times New Roman"/>
          <w:sz w:val="20"/>
        </w:rPr>
        <w:t xml:space="preserve">. The Company shall give prior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address of the Trustee.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4.03 </w:t>
      </w:r>
      <w:r>
        <w:rPr>
          <w:rFonts w:ascii="Times New Roman" w:hAnsi="Times New Roman"/>
          <w:b/>
          <w:sz w:val="20"/>
          <w:u w:val="single"/>
        </w:rPr>
        <w:t>Reports.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At any time when the Company is subject to the reporting requirements of Section 13 or 15(d) of the Exchange Act, the Company shall file with the Trustee, within fifteen (15) days after it actually files the same with the SEC (regardless of when the same is required to be filed with the SEC), each annual, quarterly or current report, information or proxy statement other report which the Company is required to file with the SEC pursuant to Section 13 or 15(d) of the Exchange Act;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shall not be required to file or deliver to the Trustee any material for which the Company has sought and received, or is seeking, confidential treatment by the SEC; and, </w:t>
      </w:r>
      <w:r>
        <w:rPr>
          <w:rFonts w:ascii="Times New Roman" w:hAnsi="Times New Roman"/>
          <w:i/>
          <w:sz w:val="20"/>
        </w:rPr>
        <w:t>provided further</w:t>
      </w:r>
      <w:r>
        <w:rPr>
          <w:rFonts w:ascii="Times New Roman" w:hAnsi="Times New Roman"/>
          <w:sz w:val="20"/>
        </w:rPr>
        <w:t xml:space="preserve">, that the Company shall be deemed to have filed such information with the Trustee if the Company has filed such information on the SEC’s EDGAR system (or any successor system) and such information is publicly available. The Company also shall comply with the other provisions of TIA Section 314(a). The Trustee </w:t>
      </w:r>
    </w:p>
    <w:p>
      <w:pPr>
        <w:pStyle w:val="TextBody"/>
        <w:bidi w:val="0"/>
        <w:spacing w:before="0" w:after="0"/>
        <w:jc w:val="left"/>
        <w:rPr>
          <w:rFonts w:ascii="Times New Roman" w:hAnsi="Times New Roman"/>
          <w:sz w:val="20"/>
        </w:rPr>
      </w:pPr>
      <w:r>
        <w:rPr>
          <w:rFonts w:ascii="Times New Roman" w:hAnsi="Times New Roman"/>
          <w:sz w:val="20"/>
        </w:rPr>
        <w:t xml:space="preserve">does not have the duty to review such information, documents or reports, is not considered to have notice of the content of such information, documents or reports and does not have a duty to verify the accuracy of such information, documents or reports.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4.04 </w:t>
      </w:r>
      <w:r>
        <w:rPr>
          <w:rFonts w:ascii="Times New Roman" w:hAnsi="Times New Roman"/>
          <w:b/>
          <w:sz w:val="20"/>
          <w:u w:val="single"/>
        </w:rPr>
        <w:t>Compliance Certificate.</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shall deliver to the Trustee within 120 days after the end of each fiscal year of the Company an Officers’ Certificate stating whether or not the signers know of any continuing Default by the Company in performing any of its obligations under this Indenture. If they do know of such a Default, the certificate shall describe the Default. In addition, the Company will notify the Trustee within 5 business days upon the Company’s knowledge of a Default.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4.05 </w:t>
      </w:r>
      <w:r>
        <w:rPr>
          <w:rFonts w:ascii="Times New Roman" w:hAnsi="Times New Roman"/>
          <w:b/>
          <w:sz w:val="20"/>
          <w:u w:val="single"/>
        </w:rPr>
        <w:t>Waiver of Stay, Extension or Usury Laws.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covenants (to the extent that it may lawfully do so) that it will not at any time insist upon, plead, or in any manner whatsoever claim or take the benefit or advantage of, any stay or extension law or any usury law or other law that would prohibit or forgive the Company from paying all or any portion of the principal of or interest on the Securities of any Series as contemplated herein, wherever enacted, now or at any time hereafter in force, or which may affect the covenants or the performance of this Indenture; and (to the extent that it may lawfully do so) the Company expressly waives all benefit or advantage of any such law, and covenants that it will not hinder, delay or impede the execution of any power herein granted to the Trustee, but will suffer and permit the execution of every such power as though no such law had been enacted.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FIVE </w:t>
      </w:r>
    </w:p>
    <w:p>
      <w:pPr>
        <w:pStyle w:val="TextBody"/>
        <w:bidi w:val="0"/>
        <w:spacing w:before="0" w:after="0"/>
        <w:jc w:val="center"/>
        <w:rPr>
          <w:rFonts w:ascii="Times New Roman" w:hAnsi="Times New Roman"/>
          <w:b/>
          <w:sz w:val="20"/>
        </w:rPr>
      </w:pPr>
      <w:r>
        <w:rPr>
          <w:rFonts w:ascii="Times New Roman" w:hAnsi="Times New Roman"/>
          <w:b/>
          <w:sz w:val="20"/>
        </w:rPr>
        <w:t xml:space="preserve">SUCCESSOR COMPANY </w:t>
      </w:r>
    </w:p>
    <w:p>
      <w:pPr>
        <w:pStyle w:val="TextBody"/>
        <w:bidi w:val="0"/>
        <w:spacing w:before="240" w:after="0"/>
        <w:jc w:val="left"/>
        <w:rPr>
          <w:rFonts w:ascii="Times New Roman" w:hAnsi="Times New Roman"/>
          <w:b/>
          <w:sz w:val="20"/>
        </w:rPr>
      </w:pPr>
      <w:r>
        <w:rPr>
          <w:rFonts w:ascii="Times New Roman" w:hAnsi="Times New Roman"/>
          <w:b/>
          <w:sz w:val="20"/>
        </w:rPr>
        <w:t xml:space="preserve">Section 5.01 </w:t>
      </w:r>
      <w:r>
        <w:rPr>
          <w:rFonts w:ascii="Times New Roman" w:hAnsi="Times New Roman"/>
          <w:b/>
          <w:sz w:val="20"/>
          <w:u w:val="single"/>
        </w:rPr>
        <w:t>When Company May Merge, etc.</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not consolidate or merge with or into, or sell, lease, convey or otherwise dispose of all or substantially all of its assets (including by way of liquidation or dissolution), to any Person (in each case other than in a transaction in which the Company is the survivor of a consolidation or merger, or the transferee in a sale, lease, conveyance or other disposition)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the Person formed by or surviving such consolidation or merger (if other than the Company), or to which such sale, lease, conveyance or other disposition will be made (collectively, the “</w:t>
            </w:r>
            <w:r>
              <w:rPr>
                <w:rFonts w:ascii="Times New Roman" w:hAnsi="Times New Roman"/>
                <w:b/>
                <w:sz w:val="20"/>
              </w:rPr>
              <w:t>Successor</w:t>
            </w:r>
            <w:r>
              <w:rPr>
                <w:rFonts w:ascii="Times New Roman" w:hAnsi="Times New Roman"/>
                <w:sz w:val="20"/>
              </w:rPr>
              <w:t xml:space="preserve">”) assumes by supplemental indenture in a form reasonably satisfactory to the Trustee all of the obligations of the Company under the Securities, as the case may be, and the Indenture,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such transaction, no Default or Event of Default has occurred and is continuing.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provisions shall not apply to a transaction the purpose of which is to change the jurisdiction of organization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Upon any such consolidation, merger, sale, lease, conveyance or other disposition, the Successor will be substituted for the Company under the Indenture. The Successor may then exercise every power and right of the Company under this Indenture, and except in the case of a lease, the Company will be released from all of its liabilities and obligations in respect of the Securities and the Indenture. If the Company leases all or substantially all of its assets, the Company will not be released from its obligations to pay the principal of and interest, if any, on the Securities.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SIX </w:t>
      </w:r>
    </w:p>
    <w:p>
      <w:pPr>
        <w:pStyle w:val="TextBody"/>
        <w:bidi w:val="0"/>
        <w:spacing w:before="0" w:after="0"/>
        <w:jc w:val="center"/>
        <w:rPr>
          <w:rFonts w:ascii="Times New Roman" w:hAnsi="Times New Roman"/>
          <w:b/>
          <w:sz w:val="20"/>
        </w:rPr>
      </w:pPr>
      <w:r>
        <w:rPr>
          <w:rFonts w:ascii="Times New Roman" w:hAnsi="Times New Roman"/>
          <w:b/>
          <w:sz w:val="20"/>
        </w:rPr>
        <w:t xml:space="preserve">DEFAULTS AND REMEDIES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6.01 </w:t>
      </w:r>
      <w:r>
        <w:rPr>
          <w:rFonts w:ascii="Times New Roman" w:hAnsi="Times New Roman"/>
          <w:b/>
          <w:sz w:val="20"/>
          <w:u w:val="single"/>
        </w:rPr>
        <w:t>Events of Default.</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An “</w:t>
      </w:r>
      <w:r>
        <w:rPr>
          <w:rFonts w:ascii="Times New Roman" w:hAnsi="Times New Roman"/>
          <w:b/>
          <w:sz w:val="20"/>
        </w:rPr>
        <w:t>Event of Default</w:t>
      </w:r>
      <w:r>
        <w:rPr>
          <w:rFonts w:ascii="Times New Roman" w:hAnsi="Times New Roman"/>
          <w:sz w:val="20"/>
        </w:rPr>
        <w:t xml:space="preserve">” with respect to a Series occurs upon the occurrence of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failure by the Company to pay interest on any Security of such Series when the same becomes due and payable and the continuance of any such failure for a period of 30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failure by the Company to pay the principal of any Security of such Series when the same becomes due and payable at maturity, upon acceleration, redemption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failure by the Company to comply with any of its agreements or covenants in, or provisions of, the Securities of such Series or this Indenture (as they relate thereto) and such failure continues for the period and after the notice specified below (except in the case of a default with respect to Article Five (or any other provision specified in the applicable supplemental indenture or Authorizing Resolution), which will constitute an Event of Default with notice but without passage of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or any Subsidiary that is a Significant Subsidiary pursuant to or within the meaning of any Bankruptcy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commences a voluntary case,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consents to the entry of an order for relief against it in an involuntary case,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consents to the appointment of a Custodian of it or for all or substantially all of its Property,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(D)</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makes a general assignment for the benefit of its creditors;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court of competent jurisdiction enters an order or decree under any Bankruptcy Law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for relief against the Company or any Subsidiary that is a Significant Subsidiary as debtor in an involuntary case,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appoints a Custodian of the Company or any Subsidiary that is a Significant Subsidiary or a Custodian for all or substantially all of the Property of the Company,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orders the liquidation of the Company or any Subsidiary that is a Significant Subsidiary, and the order or decree remains unstayed and in effect for 60 days.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Default as described in </w:t>
      </w:r>
      <w:r>
        <w:rPr>
          <w:rFonts w:ascii="Times New Roman" w:hAnsi="Times New Roman"/>
          <w:sz w:val="20"/>
          <w:u w:val="single"/>
        </w:rPr>
        <w:t>subclause (3)</w:t>
      </w:r>
      <w:r>
        <w:rPr>
          <w:rFonts w:ascii="Times New Roman" w:hAnsi="Times New Roman"/>
          <w:sz w:val="20"/>
        </w:rPr>
        <w:t xml:space="preserve"> above will not be deemed an Event of Default until the Trustee notifies the Company, or the Holders of at least 25 percent in principal amount of the then outstanding Securities of the applicable Series notify the Company and the Trustee, of the Default and (except in the case of a default with respect to </w:t>
      </w:r>
      <w:r>
        <w:rPr>
          <w:rFonts w:ascii="Times New Roman" w:hAnsi="Times New Roman"/>
          <w:sz w:val="20"/>
          <w:u w:val="single"/>
        </w:rPr>
        <w:t>Article Five</w:t>
      </w:r>
      <w:r>
        <w:rPr>
          <w:rFonts w:ascii="Times New Roman" w:hAnsi="Times New Roman"/>
          <w:sz w:val="20"/>
        </w:rPr>
        <w:t xml:space="preserve"> (or any other provision specified in the applicable supplemental indenture or Authorizing Resolution)) the Company does not cure the Default within 60 days after receipt of the notice. The notice must specify the Default, demand that it be remedied and state that the notice is a “Notice of Default.” If such a Default is cured within such time period, it ceases to exist, without any action by the Trustee or any other Person. </w:t>
      </w:r>
    </w:p>
    <w:p>
      <w:pPr>
        <w:pStyle w:val="TextBody"/>
        <w:bidi w:val="0"/>
        <w:spacing w:before="240" w:after="0"/>
        <w:jc w:val="left"/>
        <w:rPr>
          <w:rFonts w:ascii="Times New Roman" w:hAnsi="Times New Roman"/>
          <w:sz w:val="20"/>
        </w:rPr>
      </w:pPr>
      <w:r>
        <w:rPr>
          <w:rFonts w:ascii="Times New Roman" w:hAnsi="Times New Roman"/>
          <w:sz w:val="20"/>
        </w:rPr>
        <w:t>The term “</w:t>
      </w:r>
      <w:r>
        <w:rPr>
          <w:rFonts w:ascii="Times New Roman" w:hAnsi="Times New Roman"/>
          <w:b/>
          <w:sz w:val="20"/>
        </w:rPr>
        <w:t>Custodian</w:t>
      </w:r>
      <w:r>
        <w:rPr>
          <w:rFonts w:ascii="Times New Roman" w:hAnsi="Times New Roman"/>
          <w:sz w:val="20"/>
        </w:rPr>
        <w:t xml:space="preserve">” means any receiver, trustee, assignee, liquidator, custodian or similar official under any Bankruptcy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6.02 </w:t>
      </w:r>
      <w:r>
        <w:rPr>
          <w:rFonts w:ascii="Times New Roman" w:hAnsi="Times New Roman"/>
          <w:b/>
          <w:sz w:val="20"/>
          <w:u w:val="single"/>
        </w:rPr>
        <w:t>Acceleration.</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an Event of Default (other than an Event of Default with respect to the Company resulting from </w:t>
      </w:r>
      <w:r>
        <w:rPr>
          <w:rFonts w:ascii="Times New Roman" w:hAnsi="Times New Roman"/>
          <w:sz w:val="20"/>
          <w:u w:val="single"/>
        </w:rPr>
        <w:t>subclause (4)</w:t>
      </w:r>
      <w:r>
        <w:rPr>
          <w:rFonts w:ascii="Times New Roman" w:hAnsi="Times New Roman"/>
          <w:sz w:val="20"/>
        </w:rPr>
        <w:t xml:space="preserve"> or </w:t>
      </w:r>
      <w:r>
        <w:rPr>
          <w:rFonts w:ascii="Times New Roman" w:hAnsi="Times New Roman"/>
          <w:sz w:val="20"/>
          <w:u w:val="single"/>
        </w:rPr>
        <w:t>(5)</w:t>
      </w:r>
      <w:r>
        <w:rPr>
          <w:rFonts w:ascii="Times New Roman" w:hAnsi="Times New Roman"/>
          <w:sz w:val="20"/>
        </w:rPr>
        <w:t xml:space="preserve"> above), shall have occurred and be continuing under the Indenture, the Trustee by notice to the Company, or the Holders of at least 25 percent in principal amount of the Securities of the applicable Series then outstanding by notice to the Company and the Trustee, may declare all Securities of such Series to be due and payable immediately. Upon such declaration of acceleration, the amounts due and payable on the Securities of such Series will be due and payable immediately. If an Event of Default with respect to the Company specified in </w:t>
      </w:r>
      <w:r>
        <w:rPr>
          <w:rFonts w:ascii="Times New Roman" w:hAnsi="Times New Roman"/>
          <w:sz w:val="20"/>
          <w:u w:val="single"/>
        </w:rPr>
        <w:t>subclauses (4)</w:t>
      </w:r>
      <w:r>
        <w:rPr>
          <w:rFonts w:ascii="Times New Roman" w:hAnsi="Times New Roman"/>
          <w:sz w:val="20"/>
        </w:rPr>
        <w:t xml:space="preserve"> or </w:t>
      </w:r>
      <w:r>
        <w:rPr>
          <w:rFonts w:ascii="Times New Roman" w:hAnsi="Times New Roman"/>
          <w:sz w:val="20"/>
          <w:u w:val="single"/>
        </w:rPr>
        <w:t>(5)</w:t>
      </w:r>
      <w:r>
        <w:rPr>
          <w:rFonts w:ascii="Times New Roman" w:hAnsi="Times New Roman"/>
          <w:sz w:val="20"/>
        </w:rPr>
        <w:t xml:space="preserve"> above occurs, all amounts due and payable on the Securities of such Series will ipso facto become and be immediately due and payable without any declaration, notice or other act on the part of the Trustee and the Company or any Holder. </w:t>
      </w:r>
    </w:p>
    <w:p>
      <w:pPr>
        <w:pStyle w:val="TextBody"/>
        <w:bidi w:val="0"/>
        <w:spacing w:before="240" w:after="0"/>
        <w:jc w:val="left"/>
        <w:rPr>
          <w:rFonts w:ascii="Times New Roman" w:hAnsi="Times New Roman"/>
          <w:sz w:val="20"/>
        </w:rPr>
      </w:pPr>
      <w:r>
        <w:rPr>
          <w:rFonts w:ascii="Times New Roman" w:hAnsi="Times New Roman"/>
          <w:sz w:val="20"/>
        </w:rPr>
        <w:t xml:space="preserve">Holders of a majority in principal amount of the then outstanding Securities of such Series may rescind an acceleration with respect to such Series and its consequence (except an acceleration due to nonpayment of principal or interest) if the rescission would not conflict with any judgment or decree and if all existing Events of Default (other than the non-payment of accelerated principal) have been cured or waived. </w:t>
      </w:r>
    </w:p>
    <w:p>
      <w:pPr>
        <w:pStyle w:val="TextBody"/>
        <w:bidi w:val="0"/>
        <w:spacing w:before="240" w:after="0"/>
        <w:jc w:val="left"/>
        <w:rPr>
          <w:rFonts w:ascii="Times New Roman" w:hAnsi="Times New Roman"/>
          <w:sz w:val="20"/>
        </w:rPr>
      </w:pPr>
      <w:r>
        <w:rPr>
          <w:rFonts w:ascii="Times New Roman" w:hAnsi="Times New Roman"/>
          <w:sz w:val="20"/>
        </w:rPr>
        <w:t xml:space="preserve">No such rescission shall extend to or shall affect any subsequent Event of Default, or shall impair any right or power consequent thereon.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6.03 </w:t>
      </w:r>
      <w:r>
        <w:rPr>
          <w:rFonts w:ascii="Times New Roman" w:hAnsi="Times New Roman"/>
          <w:b/>
          <w:sz w:val="20"/>
          <w:u w:val="single"/>
        </w:rPr>
        <w:t>Other Remedies.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an Event of Default on a Series occurs and is continuing, the Trustee may pursue any available remedy by proceeding at law or in equity to collect the payment of principal of or interest on the Series or to enforce the performance of any provision in the Securities or this Indenture applicable to the Series.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maintain a proceeding even if it does not possess any of the Securities or does not produce any of them in the proceeding. A delay or omission by the Trustee or any Securityholder in exercising any right or remedy accruing upon an Event of Default shall not impair the right or remedy or constitute a waiver of or acquiescence in the Event of Default. No remedy is exclusive of any other remedy. All available remedies are cumulative.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6.04 </w:t>
      </w:r>
      <w:r>
        <w:rPr>
          <w:rFonts w:ascii="Times New Roman" w:hAnsi="Times New Roman"/>
          <w:b/>
          <w:sz w:val="20"/>
          <w:u w:val="single"/>
        </w:rPr>
        <w:t>Waiver of Existing Defaults.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Subject to </w:t>
      </w:r>
      <w:r>
        <w:rPr>
          <w:rFonts w:ascii="Times New Roman" w:hAnsi="Times New Roman"/>
          <w:sz w:val="20"/>
          <w:u w:val="single"/>
        </w:rPr>
        <w:t>Section 10.02</w:t>
      </w:r>
      <w:r>
        <w:rPr>
          <w:rFonts w:ascii="Times New Roman" w:hAnsi="Times New Roman"/>
          <w:sz w:val="20"/>
        </w:rPr>
        <w:t xml:space="preserve">, the Holders of a majority in principal amount of the outstanding Securities of a Series on behalf of all the Holders of the Series by notice to the Trustee may waive an existing Default on such Series and its consequences. When a Default is waived, it is cured and stops continuing, and any Event of Default arising therefrom shall be deemed to have been cured; but no such waiver shall extend to any subsequent or other Default or impair any right consequent thereon.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6.05 </w:t>
      </w:r>
      <w:r>
        <w:rPr>
          <w:rFonts w:ascii="Times New Roman" w:hAnsi="Times New Roman"/>
          <w:b/>
          <w:sz w:val="20"/>
          <w:u w:val="single"/>
        </w:rPr>
        <w:t>Control by Majority.</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a majority in principal amount of the outstanding Securities of a Series may direct the time, method and place of conducting any proceeding for any remedy available to the Trustee or exercising any trust or power conferred on it with respect to such Series. The Trustee, however, may refuse to follow any direction (i) that conflicts with law or this Indenture, (ii) that, subject to </w:t>
      </w:r>
      <w:r>
        <w:rPr>
          <w:rFonts w:ascii="Times New Roman" w:hAnsi="Times New Roman"/>
          <w:sz w:val="20"/>
          <w:u w:val="single"/>
        </w:rPr>
        <w:t>Section 7.01</w:t>
      </w:r>
      <w:r>
        <w:rPr>
          <w:rFonts w:ascii="Times New Roman" w:hAnsi="Times New Roman"/>
          <w:sz w:val="20"/>
        </w:rPr>
        <w:t xml:space="preserve">, the Trustee determines is unduly prejudicial to the rights of other Securityholders, (iii) that would involve the Trustee in personal liability, if there shall be reasonable grounds for believing that adequate indemnity against such liability is not reasonably assured to it, or (iv) if the Trustee shall not have been provided with indemnity satisfactory to it.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6.06 </w:t>
      </w:r>
      <w:r>
        <w:rPr>
          <w:rFonts w:ascii="Times New Roman" w:hAnsi="Times New Roman"/>
          <w:b/>
          <w:sz w:val="20"/>
          <w:u w:val="single"/>
        </w:rPr>
        <w:t>Limitation on Suits.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Securityholder of a Series may not pursue any remedy with respect to this Indenture or the Securities of a Series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gives to the Trustee written notice of a continuing Event of Default on the Series;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at least 25% in principal amount of the outstanding Securities of the Series make a written request to the Trustee to pursue the remedy;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Holder or Holders offer to the Trustee indemnity satisfactory to the Trustee against any loss, liability or expense;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does not comply with the request within 60 days after receipt of the request and the offer of indemnity;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written request inconsistent with such written request shall have been given to the Trustee pursuant to this </w:t>
            </w:r>
            <w:r>
              <w:rPr>
                <w:rFonts w:ascii="Times New Roman" w:hAnsi="Times New Roman"/>
                <w:sz w:val="20"/>
                <w:u w:val="single"/>
              </w:rPr>
              <w:t>Section 6.06</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Securityholder may not use this Indenture to prejudice the rights of another Holder of Securities of the same Series or to obtain a preference or priority over another Holder of Securities of the same Series (it being understood that the Trustee does not have an affirmative duty to ascertain whether or not such actions or forbearances by such Holder are unduly prejudicial to another Holder).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6.07 </w:t>
      </w:r>
      <w:r>
        <w:rPr>
          <w:rFonts w:ascii="Times New Roman" w:hAnsi="Times New Roman"/>
          <w:b/>
          <w:sz w:val="20"/>
          <w:u w:val="single"/>
        </w:rPr>
        <w:t>Rights of Holders to Receive Payment and Convert.</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 other provision of this Indenture, the right of any Holder to receive payment of principal of, premium, if any, and interest on any Security, on or after the respective due dates expressed in the Security, or to bring suit for the enforcement of any such payment on or after such respective dates, is absolute and unconditional and shall not be impaired or affected without the consent of the Holder. Notwithstanding anything to the contrary in this Indenture or the Securities, the right of any Holder of Securities to convert such Securities in accordance with this Indenture, or to bring suit for the enforcement of such right, shall not be impaired or affected without the consent of the Holder.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6.08 </w:t>
      </w:r>
      <w:r>
        <w:rPr>
          <w:rFonts w:ascii="Times New Roman" w:hAnsi="Times New Roman"/>
          <w:b/>
          <w:sz w:val="20"/>
          <w:u w:val="single"/>
        </w:rPr>
        <w:t>Collection Suit by Trustee.</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an Event of Default in payment of interest or principal specified in </w:t>
      </w:r>
      <w:r>
        <w:rPr>
          <w:rFonts w:ascii="Times New Roman" w:hAnsi="Times New Roman"/>
          <w:sz w:val="20"/>
          <w:u w:val="single"/>
        </w:rPr>
        <w:t>Section 6.01(1)</w:t>
      </w:r>
      <w:r>
        <w:rPr>
          <w:rFonts w:ascii="Times New Roman" w:hAnsi="Times New Roman"/>
          <w:sz w:val="20"/>
        </w:rPr>
        <w:t xml:space="preserve"> or </w:t>
      </w:r>
      <w:r>
        <w:rPr>
          <w:rFonts w:ascii="Times New Roman" w:hAnsi="Times New Roman"/>
          <w:sz w:val="20"/>
          <w:u w:val="single"/>
        </w:rPr>
        <w:t>(2)</w:t>
      </w:r>
      <w:r>
        <w:rPr>
          <w:rFonts w:ascii="Times New Roman" w:hAnsi="Times New Roman"/>
          <w:sz w:val="20"/>
        </w:rPr>
        <w:t xml:space="preserve"> occurs and is continuing, the Trustee may recover judgment in its own name and as trustee of an express trust against the Company for the whole amount of principal and interest remaining unpaid. </w:t>
      </w:r>
    </w:p>
    <w:p>
      <w:pPr>
        <w:pStyle w:val="TextBody"/>
        <w:bidi w:val="0"/>
        <w:spacing w:before="360" w:after="0"/>
        <w:jc w:val="left"/>
        <w:rPr>
          <w:rFonts w:ascii="Times New Roman" w:hAnsi="Times New Roman"/>
          <w:b/>
          <w:sz w:val="20"/>
        </w:rPr>
      </w:pPr>
      <w:r>
        <w:rPr>
          <w:rFonts w:ascii="Times New Roman" w:hAnsi="Times New Roman"/>
          <w:b/>
          <w:sz w:val="20"/>
        </w:rPr>
        <w:t xml:space="preserve">Section 6.09 </w:t>
      </w:r>
      <w:r>
        <w:rPr>
          <w:rFonts w:ascii="Times New Roman" w:hAnsi="Times New Roman"/>
          <w:b/>
          <w:sz w:val="20"/>
          <w:u w:val="single"/>
        </w:rPr>
        <w:t>Trustee May File Proofs of Claim.</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Trustee may file such proofs of claim and other papers or documents as may be necessary or advisable in order to have the claims of the Trustee (including any claim for the reasonable compensation, expenses, disbursements, and advances of the Trustee, its agents and counsel) and the Securityholders allowed in any judicial proceedings relative to the Company or its creditors or Property, and unless prohibited by applicable law or regulation, may vote on behalf of the Holders in any election of a Custodian, and shall be entitled and empowered to collect and receive any moneys or other Property payable or deliverable on any such claims and to distribute the same and any Custodian in any such judicial proceeding is hereby authorized by each Securityholder to make such payments to the Trustee. Nothing herein shall be deemed to authorize the Trustee to authorize or consent to or vote for or accept or adopt on behalf of any Securityholder any plan of reorganization, arrangement, adjustment or composition affecting the Securities or the rights of any Holder or to authorize the Trustee to vote in respect of the claim of any Securityholder except as aforesaid for the election of the Custodian.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6.10 </w:t>
      </w:r>
      <w:r>
        <w:rPr>
          <w:rFonts w:ascii="Times New Roman" w:hAnsi="Times New Roman"/>
          <w:b/>
          <w:sz w:val="20"/>
          <w:u w:val="single"/>
        </w:rPr>
        <w:t>Priorities.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the Trustee collects any money pursuant to this Article with respect to Securities of any Series, it shall pay out the money in the following order: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18"/>
        <w:gridCol w:w="121"/>
        <w:gridCol w:w="9066"/>
      </w:tblGrid>
      <w:tr>
        <w:trPr/>
        <w:tc>
          <w:tcPr>
            <w:tcW w:w="101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9066" w:type="dxa"/>
            <w:tcBorders/>
            <w:vAlign w:val="center"/>
          </w:tcPr>
          <w:p>
            <w:pPr>
              <w:pStyle w:val="TableContents"/>
              <w:bidi w:val="0"/>
              <w:spacing w:before="0" w:after="283"/>
              <w:jc w:val="left"/>
              <w:rPr>
                <w:sz w:val="4"/>
                <w:szCs w:val="4"/>
              </w:rPr>
            </w:pPr>
            <w:r>
              <w:rPr>
                <w:sz w:val="4"/>
                <w:szCs w:val="4"/>
              </w:rPr>
            </w:r>
          </w:p>
        </w:tc>
      </w:tr>
      <w:tr>
        <w:trPr/>
        <w:tc>
          <w:tcPr>
            <w:tcW w:w="1018" w:type="dxa"/>
            <w:tcBorders/>
          </w:tcPr>
          <w:p>
            <w:pPr>
              <w:pStyle w:val="TableContents"/>
              <w:bidi w:val="0"/>
              <w:spacing w:before="0" w:after="283"/>
              <w:jc w:val="left"/>
              <w:rPr>
                <w:i/>
              </w:rPr>
            </w:pPr>
            <w:r>
              <w:rPr>
                <w:i/>
              </w:rPr>
              <w:t>First:</w:t>
            </w:r>
          </w:p>
        </w:tc>
        <w:tc>
          <w:tcPr>
            <w:tcW w:w="121" w:type="dxa"/>
            <w:tcBorders/>
            <w:vAlign w:val="bottom"/>
          </w:tcPr>
          <w:p>
            <w:pPr>
              <w:pStyle w:val="TableContents"/>
              <w:bidi w:val="0"/>
              <w:spacing w:before="0" w:after="283"/>
              <w:jc w:val="left"/>
              <w:rPr/>
            </w:pPr>
            <w:r>
              <w:rPr/>
              <w:t>  </w:t>
            </w:r>
          </w:p>
        </w:tc>
        <w:tc>
          <w:tcPr>
            <w:tcW w:w="9066" w:type="dxa"/>
            <w:tcBorders/>
          </w:tcPr>
          <w:p>
            <w:pPr>
              <w:pStyle w:val="TableContents"/>
              <w:bidi w:val="0"/>
              <w:spacing w:before="0" w:after="283"/>
              <w:jc w:val="left"/>
              <w:rPr/>
            </w:pPr>
            <w:r>
              <w:rPr/>
              <w:t xml:space="preserve">to the Trustee for amounts due under </w:t>
            </w:r>
            <w:r>
              <w:rPr>
                <w:u w:val="single"/>
              </w:rPr>
              <w:t>Section 7.07;</w:t>
            </w:r>
          </w:p>
        </w:tc>
      </w:tr>
      <w:tr>
        <w:trPr>
          <w:trHeight w:val="120" w:hRule="atLeast"/>
        </w:trPr>
        <w:tc>
          <w:tcPr>
            <w:tcW w:w="1018" w:type="dxa"/>
            <w:tcBorders/>
            <w:vAlign w:val="center"/>
          </w:tcPr>
          <w:p>
            <w:pPr>
              <w:pStyle w:val="TableContents"/>
              <w:bidi w:val="0"/>
              <w:spacing w:before="0" w:after="283"/>
              <w:jc w:val="left"/>
              <w:rPr>
                <w:sz w:val="4"/>
                <w:szCs w:val="4"/>
              </w:rPr>
            </w:pPr>
            <w:r>
              <w:rPr>
                <w:sz w:val="4"/>
                <w:szCs w:val="4"/>
              </w:rPr>
            </w:r>
          </w:p>
        </w:tc>
        <w:tc>
          <w:tcPr>
            <w:tcW w:w="9187" w:type="dxa"/>
            <w:gridSpan w:val="2"/>
            <w:tcBorders/>
            <w:vAlign w:val="center"/>
          </w:tcPr>
          <w:p>
            <w:pPr>
              <w:pStyle w:val="TableContents"/>
              <w:bidi w:val="0"/>
              <w:spacing w:before="0" w:after="283"/>
              <w:jc w:val="left"/>
              <w:rPr>
                <w:sz w:val="4"/>
                <w:szCs w:val="4"/>
              </w:rPr>
            </w:pPr>
            <w:r>
              <w:rPr>
                <w:sz w:val="4"/>
                <w:szCs w:val="4"/>
              </w:rPr>
            </w:r>
          </w:p>
        </w:tc>
      </w:tr>
      <w:tr>
        <w:trPr/>
        <w:tc>
          <w:tcPr>
            <w:tcW w:w="1018" w:type="dxa"/>
            <w:tcBorders/>
          </w:tcPr>
          <w:p>
            <w:pPr>
              <w:pStyle w:val="TableContents"/>
              <w:bidi w:val="0"/>
              <w:spacing w:before="0" w:after="283"/>
              <w:jc w:val="left"/>
              <w:rPr>
                <w:i/>
              </w:rPr>
            </w:pPr>
            <w:r>
              <w:rPr>
                <w:i/>
              </w:rPr>
              <w:t>Second:</w:t>
            </w:r>
          </w:p>
        </w:tc>
        <w:tc>
          <w:tcPr>
            <w:tcW w:w="121" w:type="dxa"/>
            <w:tcBorders/>
            <w:vAlign w:val="bottom"/>
          </w:tcPr>
          <w:p>
            <w:pPr>
              <w:pStyle w:val="TableContents"/>
              <w:bidi w:val="0"/>
              <w:spacing w:before="0" w:after="283"/>
              <w:jc w:val="left"/>
              <w:rPr/>
            </w:pPr>
            <w:r>
              <w:rPr/>
              <w:t>  </w:t>
            </w:r>
          </w:p>
        </w:tc>
        <w:tc>
          <w:tcPr>
            <w:tcW w:w="9066" w:type="dxa"/>
            <w:tcBorders/>
          </w:tcPr>
          <w:p>
            <w:pPr>
              <w:pStyle w:val="TableContents"/>
              <w:bidi w:val="0"/>
              <w:spacing w:before="0" w:after="283"/>
              <w:jc w:val="left"/>
              <w:rPr/>
            </w:pPr>
            <w:r>
              <w:rPr/>
              <w:t>to Securityholders of the Series for amounts due and unpaid on the Series for principal and interest, ratably, without preference or priority of any kind, according to the amounts due and payable on the Series for principal and interest, respectively; and</w:t>
            </w:r>
          </w:p>
        </w:tc>
      </w:tr>
      <w:tr>
        <w:trPr>
          <w:trHeight w:val="120" w:hRule="atLeast"/>
        </w:trPr>
        <w:tc>
          <w:tcPr>
            <w:tcW w:w="1018" w:type="dxa"/>
            <w:tcBorders/>
            <w:vAlign w:val="center"/>
          </w:tcPr>
          <w:p>
            <w:pPr>
              <w:pStyle w:val="TableContents"/>
              <w:bidi w:val="0"/>
              <w:spacing w:before="0" w:after="283"/>
              <w:jc w:val="left"/>
              <w:rPr>
                <w:sz w:val="4"/>
                <w:szCs w:val="4"/>
              </w:rPr>
            </w:pPr>
            <w:r>
              <w:rPr>
                <w:sz w:val="4"/>
                <w:szCs w:val="4"/>
              </w:rPr>
            </w:r>
          </w:p>
        </w:tc>
        <w:tc>
          <w:tcPr>
            <w:tcW w:w="9187" w:type="dxa"/>
            <w:gridSpan w:val="2"/>
            <w:tcBorders/>
            <w:vAlign w:val="center"/>
          </w:tcPr>
          <w:p>
            <w:pPr>
              <w:pStyle w:val="TableContents"/>
              <w:bidi w:val="0"/>
              <w:spacing w:before="0" w:after="283"/>
              <w:jc w:val="left"/>
              <w:rPr>
                <w:sz w:val="4"/>
                <w:szCs w:val="4"/>
              </w:rPr>
            </w:pPr>
            <w:r>
              <w:rPr>
                <w:sz w:val="4"/>
                <w:szCs w:val="4"/>
              </w:rPr>
            </w:r>
          </w:p>
        </w:tc>
      </w:tr>
      <w:tr>
        <w:trPr/>
        <w:tc>
          <w:tcPr>
            <w:tcW w:w="1018" w:type="dxa"/>
            <w:tcBorders/>
          </w:tcPr>
          <w:p>
            <w:pPr>
              <w:pStyle w:val="TableContents"/>
              <w:bidi w:val="0"/>
              <w:spacing w:before="0" w:after="283"/>
              <w:jc w:val="left"/>
              <w:rPr>
                <w:i/>
              </w:rPr>
            </w:pPr>
            <w:r>
              <w:rPr>
                <w:i/>
              </w:rPr>
              <w:t>Third:</w:t>
            </w:r>
          </w:p>
        </w:tc>
        <w:tc>
          <w:tcPr>
            <w:tcW w:w="121" w:type="dxa"/>
            <w:tcBorders/>
            <w:vAlign w:val="bottom"/>
          </w:tcPr>
          <w:p>
            <w:pPr>
              <w:pStyle w:val="TableContents"/>
              <w:bidi w:val="0"/>
              <w:spacing w:before="0" w:after="283"/>
              <w:jc w:val="left"/>
              <w:rPr/>
            </w:pPr>
            <w:r>
              <w:rPr/>
              <w:t>  </w:t>
            </w:r>
          </w:p>
        </w:tc>
        <w:tc>
          <w:tcPr>
            <w:tcW w:w="9066" w:type="dxa"/>
            <w:tcBorders/>
          </w:tcPr>
          <w:p>
            <w:pPr>
              <w:pStyle w:val="TableContents"/>
              <w:bidi w:val="0"/>
              <w:spacing w:before="0" w:after="283"/>
              <w:jc w:val="left"/>
              <w:rPr/>
            </w:pPr>
            <w:r>
              <w:rPr/>
              <w:t>to the Company or as a court of competent jurisdiction shall direct.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Trustee may fix a record date and payment date for any payment to Securityholders pursuant to this </w:t>
      </w:r>
      <w:r>
        <w:rPr>
          <w:rFonts w:ascii="Times New Roman" w:hAnsi="Times New Roman"/>
          <w:sz w:val="20"/>
          <w:u w:val="single"/>
        </w:rPr>
        <w:t>Section 6.10</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6.11 </w:t>
      </w:r>
      <w:r>
        <w:rPr>
          <w:rFonts w:ascii="Times New Roman" w:hAnsi="Times New Roman"/>
          <w:b/>
          <w:sz w:val="20"/>
          <w:u w:val="single"/>
        </w:rPr>
        <w:t>Undertaking for Costs.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any suit for the enforcement of any right or remedy under this Indenture or in any suit against the Trustee for any action taken or omitted by it as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the due regard to the merits and good faith of the claims or defenses made by the party litigant. This Section does not apply to a suit by the Trustee, a suit by a Holder pursuant to </w:t>
      </w:r>
      <w:r>
        <w:rPr>
          <w:rFonts w:ascii="Times New Roman" w:hAnsi="Times New Roman"/>
          <w:sz w:val="20"/>
          <w:u w:val="single"/>
        </w:rPr>
        <w:t>Section 6.07</w:t>
      </w:r>
      <w:r>
        <w:rPr>
          <w:rFonts w:ascii="Times New Roman" w:hAnsi="Times New Roman"/>
          <w:sz w:val="20"/>
        </w:rPr>
        <w:t xml:space="preserve"> or a suit by Holders of more than 10% in principal amount of the Series.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SEVEN </w:t>
      </w:r>
    </w:p>
    <w:p>
      <w:pPr>
        <w:pStyle w:val="TextBody"/>
        <w:bidi w:val="0"/>
        <w:spacing w:before="0" w:after="0"/>
        <w:jc w:val="center"/>
        <w:rPr>
          <w:rFonts w:ascii="Times New Roman" w:hAnsi="Times New Roman"/>
          <w:b/>
          <w:sz w:val="20"/>
        </w:rPr>
      </w:pPr>
      <w:r>
        <w:rPr>
          <w:rFonts w:ascii="Times New Roman" w:hAnsi="Times New Roman"/>
          <w:b/>
          <w:sz w:val="20"/>
        </w:rPr>
        <w:t xml:space="preserve">TRUSTEE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7.01 </w:t>
      </w:r>
      <w:r>
        <w:rPr>
          <w:rFonts w:ascii="Times New Roman" w:hAnsi="Times New Roman"/>
          <w:b/>
          <w:sz w:val="20"/>
          <w:u w:val="single"/>
        </w:rPr>
        <w:t>Duties of Trustee.</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an Event of Default has occurred and is continuing with respect to Securities of any Series, the Trustee shall, prior to the receipt of directions from the Holders of a majority in principal amount of the Securities of the Series, exercise its rights and powers and use the same degree of care and skill in their exercise as a prudent man would exercise or use under the circumstances in the conduct of his own affairs. </w:t>
      </w:r>
    </w:p>
    <w:p>
      <w:pPr>
        <w:pStyle w:val="TextBody"/>
        <w:bidi w:val="0"/>
        <w:spacing w:before="120" w:after="0"/>
        <w:jc w:val="left"/>
        <w:rPr>
          <w:rFonts w:ascii="Times New Roman" w:hAnsi="Times New Roman"/>
          <w:sz w:val="20"/>
        </w:rPr>
      </w:pPr>
      <w:r>
        <w:rPr>
          <w:rFonts w:ascii="Times New Roman" w:hAnsi="Times New Roman"/>
          <w:sz w:val="20"/>
        </w:rPr>
        <w:t xml:space="preserve">(b) Except during the continuance of an 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(1) The Trustee need perform only those duties that are specifically set forth in this Indenture and no others and no implied covenants or obligations shall be read into this Indenture against the Trustee. </w:t>
      </w:r>
    </w:p>
    <w:p>
      <w:pPr>
        <w:pStyle w:val="TextBody"/>
        <w:bidi w:val="0"/>
        <w:spacing w:before="120" w:after="0"/>
        <w:jc w:val="left"/>
        <w:rPr>
          <w:rFonts w:ascii="Times New Roman" w:hAnsi="Times New Roman"/>
          <w:sz w:val="20"/>
        </w:rPr>
      </w:pPr>
      <w:r>
        <w:rPr>
          <w:rFonts w:ascii="Times New Roman" w:hAnsi="Times New Roman"/>
          <w:sz w:val="20"/>
        </w:rPr>
        <w:t xml:space="preserve">(2) In the absence of bad faith on its part, the Trustee may conclusively rely, as to the truth of the statements and the correctness of the opinions expressed therein, upon certificates or opinions furnished to the Trustee and conforming to the requirements of this Indenture. The Trustee, however, in the case of certificates or opinions specifically required by any provision hereof to be furnished to it, shall examine the certificates and opinions to determine whether or not they conform to the requirements of this Indenture but need not confirm or investigate the accuracy of mathematical calculations or other facts or matters stated therein. </w:t>
      </w:r>
    </w:p>
    <w:p>
      <w:pPr>
        <w:pStyle w:val="TextBody"/>
        <w:bidi w:val="0"/>
        <w:spacing w:before="120" w:after="0"/>
        <w:jc w:val="left"/>
        <w:rPr>
          <w:rFonts w:ascii="Times New Roman" w:hAnsi="Times New Roman"/>
          <w:sz w:val="20"/>
        </w:rPr>
      </w:pPr>
      <w:r>
        <w:rPr>
          <w:rFonts w:ascii="Times New Roman" w:hAnsi="Times New Roman"/>
          <w:sz w:val="20"/>
        </w:rPr>
        <w:t xml:space="preserve">(c) The Trustee may not be relieved from liability for its own negligent action, its own negligent failure to act or its own willful misconduct, except that: </w:t>
      </w:r>
    </w:p>
    <w:p>
      <w:pPr>
        <w:pStyle w:val="TextBody"/>
        <w:bidi w:val="0"/>
        <w:spacing w:before="120" w:after="0"/>
        <w:jc w:val="left"/>
        <w:rPr>
          <w:rFonts w:ascii="Times New Roman" w:hAnsi="Times New Roman"/>
          <w:sz w:val="20"/>
        </w:rPr>
      </w:pPr>
      <w:r>
        <w:rPr>
          <w:rFonts w:ascii="Times New Roman" w:hAnsi="Times New Roman"/>
          <w:sz w:val="20"/>
        </w:rPr>
        <w:t xml:space="preserve">(1) This paragraph does not limit the effect of </w:t>
      </w:r>
      <w:r>
        <w:rPr>
          <w:rFonts w:ascii="Times New Roman" w:hAnsi="Times New Roman"/>
          <w:sz w:val="20"/>
          <w:u w:val="single"/>
        </w:rPr>
        <w:t>paragraph (b)</w:t>
      </w:r>
      <w:r>
        <w:rPr>
          <w:rFonts w:ascii="Times New Roman" w:hAnsi="Times New Roman"/>
          <w:sz w:val="20"/>
        </w:rPr>
        <w:t xml:space="preserve"> of this Section. </w:t>
      </w:r>
    </w:p>
    <w:p>
      <w:pPr>
        <w:pStyle w:val="TextBody"/>
        <w:bidi w:val="0"/>
        <w:spacing w:before="120" w:after="0"/>
        <w:jc w:val="left"/>
        <w:rPr>
          <w:rFonts w:ascii="Times New Roman" w:hAnsi="Times New Roman"/>
          <w:sz w:val="20"/>
        </w:rPr>
      </w:pPr>
      <w:r>
        <w:rPr>
          <w:rFonts w:ascii="Times New Roman" w:hAnsi="Times New Roman"/>
          <w:sz w:val="20"/>
        </w:rPr>
        <w:t xml:space="preserve">(2) The Trustee shall not be liable for any error of judgment made in good faith by a Trust Officer, unless it is proved that the Trustee was negligent in ascertaining the pertinent facts. </w:t>
      </w:r>
    </w:p>
    <w:p>
      <w:pPr>
        <w:pStyle w:val="TextBody"/>
        <w:bidi w:val="0"/>
        <w:spacing w:before="120" w:after="0"/>
        <w:jc w:val="left"/>
        <w:rPr>
          <w:rFonts w:ascii="Times New Roman" w:hAnsi="Times New Roman"/>
          <w:sz w:val="20"/>
        </w:rPr>
      </w:pPr>
      <w:r>
        <w:rPr>
          <w:rFonts w:ascii="Times New Roman" w:hAnsi="Times New Roman"/>
          <w:sz w:val="20"/>
        </w:rPr>
        <w:t xml:space="preserve">(3) The Trustee shall not be liable with respect to any action it takes or omits to take in good faith in accordance with a direction received by it pursuant to </w:t>
      </w:r>
      <w:r>
        <w:rPr>
          <w:rFonts w:ascii="Times New Roman" w:hAnsi="Times New Roman"/>
          <w:sz w:val="20"/>
          <w:u w:val="single"/>
        </w:rPr>
        <w:t>Section 6.05</w:t>
      </w:r>
      <w:r>
        <w:rPr>
          <w:rFonts w:ascii="Times New Roman" w:hAnsi="Times New Roman"/>
          <w:sz w:val="20"/>
        </w:rPr>
        <w:t xml:space="preserve"> or any other direction of the Holders permitted hereunder. </w:t>
      </w:r>
    </w:p>
    <w:p>
      <w:pPr>
        <w:pStyle w:val="TextBody"/>
        <w:bidi w:val="0"/>
        <w:spacing w:before="120" w:after="0"/>
        <w:jc w:val="left"/>
        <w:rPr>
          <w:rFonts w:ascii="Times New Roman" w:hAnsi="Times New Roman"/>
          <w:sz w:val="20"/>
        </w:rPr>
      </w:pPr>
      <w:r>
        <w:rPr>
          <w:rFonts w:ascii="Times New Roman" w:hAnsi="Times New Roman"/>
          <w:sz w:val="20"/>
        </w:rPr>
        <w:t xml:space="preserve">(d) Every provision of this Indenture that in any way relates to the Trustee is subject to </w:t>
      </w:r>
      <w:r>
        <w:rPr>
          <w:rFonts w:ascii="Times New Roman" w:hAnsi="Times New Roman"/>
          <w:sz w:val="20"/>
          <w:u w:val="single"/>
        </w:rPr>
        <w:t>paragraphs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of this Section. </w:t>
      </w:r>
    </w:p>
    <w:p>
      <w:pPr>
        <w:pStyle w:val="TextBody"/>
        <w:bidi w:val="0"/>
        <w:spacing w:before="120" w:after="0"/>
        <w:jc w:val="left"/>
        <w:rPr>
          <w:rFonts w:ascii="Times New Roman" w:hAnsi="Times New Roman"/>
          <w:sz w:val="20"/>
        </w:rPr>
      </w:pPr>
      <w:r>
        <w:rPr>
          <w:rFonts w:ascii="Times New Roman" w:hAnsi="Times New Roman"/>
          <w:sz w:val="20"/>
        </w:rPr>
        <w:t xml:space="preserve">(e) The Trustee may refuse to perform any duty or exercise any right or power unless it receives indemnity satisfactory to it against any loss, liability or expense. </w:t>
      </w:r>
    </w:p>
    <w:p>
      <w:pPr>
        <w:pStyle w:val="TextBody"/>
        <w:bidi w:val="0"/>
        <w:spacing w:before="120" w:after="0"/>
        <w:jc w:val="left"/>
        <w:rPr>
          <w:rFonts w:ascii="Times New Roman" w:hAnsi="Times New Roman"/>
          <w:sz w:val="20"/>
        </w:rPr>
      </w:pPr>
      <w:r>
        <w:rPr>
          <w:rFonts w:ascii="Times New Roman" w:hAnsi="Times New Roman"/>
          <w:sz w:val="20"/>
        </w:rPr>
        <w:t xml:space="preserve">(f) The Trustee shall not be liable for interest on any money received by it except as the Trustee may agree with the Company. Money held in trust by the Trustee need not be segregated from other funds except to the extent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None of the provisions contained in this Indenture shall require the Trustee to expend or risk its own funds or otherwise incur financial liability in the performance of any of its duties or in the exercise of any of its rights or powers, if there shall be reasonable grounds for believing that the repayment of such funds or adequate indemnity against such liability is not reasonably assured to it.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7.02 </w:t>
      </w:r>
      <w:r>
        <w:rPr>
          <w:rFonts w:ascii="Times New Roman" w:hAnsi="Times New Roman"/>
          <w:b/>
          <w:sz w:val="20"/>
          <w:u w:val="single"/>
        </w:rPr>
        <w:t>Rights of Trustee.</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Subject to </w:t>
      </w:r>
      <w:r>
        <w:rPr>
          <w:rFonts w:ascii="Times New Roman" w:hAnsi="Times New Roman"/>
          <w:sz w:val="20"/>
          <w:u w:val="single"/>
        </w:rPr>
        <w:t>Section 7.01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Trustee may conclusively rely and shall be fully protected in acting or refraining from acting on any document, resolution, certificate, instrument, report, or direction believed by it to be genuine and to have been signed or presented by the proper person. The Trustee need not investigate any fact or matter stated in the document, resolution, certificate, instrument, report, or direction. </w:t>
      </w:r>
    </w:p>
    <w:p>
      <w:pPr>
        <w:pStyle w:val="TextBody"/>
        <w:bidi w:val="0"/>
        <w:spacing w:before="120" w:after="0"/>
        <w:jc w:val="left"/>
        <w:rPr>
          <w:rFonts w:ascii="Times New Roman" w:hAnsi="Times New Roman"/>
          <w:sz w:val="20"/>
        </w:rPr>
      </w:pPr>
      <w:r>
        <w:rPr>
          <w:rFonts w:ascii="Times New Roman" w:hAnsi="Times New Roman"/>
          <w:sz w:val="20"/>
        </w:rPr>
        <w:t xml:space="preserve">(b) Before the Trustee acts or refrains from acting, it may require an Officers’ Certificate or an Opinion of Counsel or both, which shall conform to </w:t>
      </w:r>
      <w:r>
        <w:rPr>
          <w:rFonts w:ascii="Times New Roman" w:hAnsi="Times New Roman"/>
          <w:sz w:val="20"/>
          <w:u w:val="single"/>
        </w:rPr>
        <w:t>Sections 12.04</w:t>
      </w:r>
      <w:r>
        <w:rPr>
          <w:rFonts w:ascii="Times New Roman" w:hAnsi="Times New Roman"/>
          <w:sz w:val="20"/>
        </w:rPr>
        <w:t xml:space="preserve"> and </w:t>
      </w:r>
      <w:r>
        <w:rPr>
          <w:rFonts w:ascii="Times New Roman" w:hAnsi="Times New Roman"/>
          <w:sz w:val="20"/>
          <w:u w:val="single"/>
        </w:rPr>
        <w:t>12.05</w:t>
      </w:r>
      <w:r>
        <w:rPr>
          <w:rFonts w:ascii="Times New Roman" w:hAnsi="Times New Roman"/>
          <w:sz w:val="20"/>
        </w:rPr>
        <w:t xml:space="preserve"> hereof and containing such other statements as the Trustee reasonably deems necessary to perform its duties hereunder. The Trustee shall not be liable for any action it takes or omits to take in good faith in reliance on the Officers’ Certificate, Opinion of Counsel or any other direction of the Company permitted hereunder. </w:t>
      </w:r>
    </w:p>
    <w:p>
      <w:pPr>
        <w:pStyle w:val="TextBody"/>
        <w:bidi w:val="0"/>
        <w:spacing w:before="120" w:after="0"/>
        <w:jc w:val="left"/>
        <w:rPr>
          <w:rFonts w:ascii="Times New Roman" w:hAnsi="Times New Roman"/>
          <w:sz w:val="20"/>
        </w:rPr>
      </w:pPr>
      <w:r>
        <w:rPr>
          <w:rFonts w:ascii="Times New Roman" w:hAnsi="Times New Roman"/>
          <w:sz w:val="20"/>
        </w:rPr>
        <w:t xml:space="preserve">(c) The Trustee may act through agents and shall not be responsible for the misconduct or negligence of any agent appointed with due care. </w:t>
      </w:r>
    </w:p>
    <w:p>
      <w:pPr>
        <w:pStyle w:val="TextBody"/>
        <w:bidi w:val="0"/>
        <w:spacing w:before="120" w:after="0"/>
        <w:jc w:val="left"/>
        <w:rPr>
          <w:rFonts w:ascii="Times New Roman" w:hAnsi="Times New Roman"/>
          <w:sz w:val="20"/>
        </w:rPr>
      </w:pPr>
      <w:r>
        <w:rPr>
          <w:rFonts w:ascii="Times New Roman" w:hAnsi="Times New Roman"/>
          <w:sz w:val="20"/>
        </w:rPr>
        <w:t xml:space="preserve">(d) The Trustee shall not be liable for any action taken, suffered or omitted by it in good faith and believed by it to be authorized or within the discretion or rights or powers conferred upon it by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(e) The Trustee may consult with counsel of its selection, and the advice of such counsel or any Opinion of Counsel as to matters of law shall be full and complete authorization and protection in respect of any action taken, omitted or suffered by it hereunder in good faith and in accordance with the advice or opinion of such counsel. </w:t>
      </w:r>
    </w:p>
    <w:p>
      <w:pPr>
        <w:pStyle w:val="TextBody"/>
        <w:bidi w:val="0"/>
        <w:spacing w:before="120" w:after="0"/>
        <w:jc w:val="left"/>
        <w:rPr>
          <w:rFonts w:ascii="Times New Roman" w:hAnsi="Times New Roman"/>
          <w:sz w:val="20"/>
        </w:rPr>
      </w:pPr>
      <w:r>
        <w:rPr>
          <w:rFonts w:ascii="Times New Roman" w:hAnsi="Times New Roman"/>
          <w:sz w:val="20"/>
        </w:rPr>
        <w:t xml:space="preserve">(f) Unless otherwise specifically provided in the Indenture, any demand, request, direction or notice from the Company shall be sufficient if signed by an Officer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(g) For all purposes under this Indenture, the Trustee shall not be deemed to have notice or knowledge of any Event of Default unless written notice of any Event of Default is received by the Trustee at its address specified in </w:t>
      </w:r>
      <w:r>
        <w:rPr>
          <w:rFonts w:ascii="Times New Roman" w:hAnsi="Times New Roman"/>
          <w:sz w:val="20"/>
          <w:u w:val="single"/>
        </w:rPr>
        <w:t>Section 12.02</w:t>
      </w:r>
      <w:r>
        <w:rPr>
          <w:rFonts w:ascii="Times New Roman" w:hAnsi="Times New Roman"/>
          <w:sz w:val="20"/>
        </w:rPr>
        <w:t xml:space="preserve"> hereof and such notice references the Securities generally, the Company and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(h) The Trustee shall be under no obligation to exercise any of the rights or powers vested in it by this Indenture at the request or direction of any of the Holders pursuant to this Indenture, unless such Holders shall have offered to the Trustee security or indemnity reasonably satisfactory to the Trustee against the costs, expenses and liabilities which might be incurred by it in compliance with such request or direction. </w:t>
      </w:r>
    </w:p>
    <w:p>
      <w:pPr>
        <w:pStyle w:val="TextBody"/>
        <w:bidi w:val="0"/>
        <w:spacing w:before="120" w:after="0"/>
        <w:jc w:val="left"/>
        <w:rPr>
          <w:rFonts w:ascii="Times New Roman" w:hAnsi="Times New Roman"/>
          <w:sz w:val="20"/>
        </w:rPr>
      </w:pPr>
      <w:r>
        <w:rPr>
          <w:rFonts w:ascii="Times New Roman" w:hAnsi="Times New Roman"/>
          <w:sz w:val="20"/>
        </w:rPr>
        <w:t xml:space="preserve">(i) 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sole cost of the Company and shall incur no liability or additional liability of any kind by reason of such inquiry or investigation. </w:t>
      </w:r>
    </w:p>
    <w:p>
      <w:pPr>
        <w:pStyle w:val="TextBody"/>
        <w:bidi w:val="0"/>
        <w:spacing w:before="120" w:after="0"/>
        <w:jc w:val="left"/>
        <w:rPr>
          <w:rFonts w:ascii="Times New Roman" w:hAnsi="Times New Roman"/>
          <w:sz w:val="20"/>
        </w:rPr>
      </w:pPr>
      <w:r>
        <w:rPr>
          <w:rFonts w:ascii="Times New Roman" w:hAnsi="Times New Roman"/>
          <w:sz w:val="20"/>
        </w:rPr>
        <w:t xml:space="preserve">(j) In no event shall the Trustee be responsible or liable for special, indirect, or consequential loss or damage of any kind whatsoever (including, but not limited to, loss of profit) irrespective of whether the Trustee has been advised of the likelihood of such loss or damage and regardless of the form of 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 </w:t>
      </w:r>
    </w:p>
    <w:p>
      <w:pPr>
        <w:pStyle w:val="TextBody"/>
        <w:bidi w:val="0"/>
        <w:spacing w:before="120" w:after="0"/>
        <w:jc w:val="left"/>
        <w:rPr>
          <w:rFonts w:ascii="Times New Roman" w:hAnsi="Times New Roman"/>
          <w:sz w:val="20"/>
        </w:rPr>
      </w:pPr>
      <w:r>
        <w:rPr>
          <w:rFonts w:ascii="Times New Roman" w:hAnsi="Times New Roman"/>
          <w:sz w:val="20"/>
        </w:rPr>
        <w:t xml:space="preserve">(l) The Trustee may request that the Company deliver a certificate setting forth the names of individuals and/or titles of officers authorized at such time to take specified actions pursuant to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(m)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7.03 </w:t>
      </w:r>
      <w:r>
        <w:rPr>
          <w:rFonts w:ascii="Times New Roman" w:hAnsi="Times New Roman"/>
          <w:b/>
          <w:sz w:val="20"/>
          <w:u w:val="single"/>
        </w:rPr>
        <w:t>Individual Rights of Trustee.</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Trustee in its individual or any other capacity may become the owner or pledgee of Securities and may otherwise deal with the Company or its affiliates with the same rights it would have if it were not Trustee. Any Agent may do the same with like rights. The Trustee, however, must comply with </w:t>
      </w:r>
      <w:r>
        <w:rPr>
          <w:rFonts w:ascii="Times New Roman" w:hAnsi="Times New Roman"/>
          <w:sz w:val="20"/>
          <w:u w:val="single"/>
        </w:rPr>
        <w:t>Sections 7.10</w:t>
      </w:r>
      <w:r>
        <w:rPr>
          <w:rFonts w:ascii="Times New Roman" w:hAnsi="Times New Roman"/>
          <w:sz w:val="20"/>
        </w:rPr>
        <w:t xml:space="preserve"> and </w:t>
      </w:r>
      <w:r>
        <w:rPr>
          <w:rFonts w:ascii="Times New Roman" w:hAnsi="Times New Roman"/>
          <w:sz w:val="20"/>
          <w:u w:val="single"/>
        </w:rPr>
        <w:t>7.11</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7.04 </w:t>
      </w:r>
      <w:r>
        <w:rPr>
          <w:rFonts w:ascii="Times New Roman" w:hAnsi="Times New Roman"/>
          <w:b/>
          <w:sz w:val="20"/>
          <w:u w:val="single"/>
        </w:rPr>
        <w:t>Trustee’s Disclaimer.</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Trustee makes no representation as to the validity or adequacy of this Indenture, the Securities or of any prospectus used to sell the Securities of any Series; it shall not be accountable for the Company’s use of the proceeds from the Securities; it shall not be accountable for any money paid to the Company, or upon the Company’s direction, if made under and in accordance with any provision of this Indenture; it shall not be responsible for the use or application of any money received by any Paying Agent other than the Trustee; and it shall not be responsible for any statement of the Company in this Indenture or in the Securities other than its certificate of authentication.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7.05 </w:t>
      </w:r>
      <w:r>
        <w:rPr>
          <w:rFonts w:ascii="Times New Roman" w:hAnsi="Times New Roman"/>
          <w:b/>
          <w:sz w:val="20"/>
          <w:u w:val="single"/>
        </w:rPr>
        <w:t>Notice of Defaults.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a Default on a Series occurs and is continuing and if it is known to the Trustee, the Trustee shall deliver to each Securityholder of the Series notice of the Default (which shall specify any uncured Default known to it) within 90 days after the Trustee obtains such knowledge. Except in the case of a default in payment of principal of or interest on a Series, the Trustee may withhold the notice if and so long as the board of directors of the Trustee, the executive or any trust committee of such directors and/or responsible officers of the Trustee in good faith determine(s) that withholding the notice is in the interests of Holders of the Series.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7.06 </w:t>
      </w:r>
      <w:r>
        <w:rPr>
          <w:rFonts w:ascii="Times New Roman" w:hAnsi="Times New Roman"/>
          <w:b/>
          <w:sz w:val="20"/>
          <w:u w:val="single"/>
        </w:rPr>
        <w:t>Reports by Trustee to Holders.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Within 60 days after each May 15 beginning with the May 15 following the date of this Base Indenture, the Trustee shall mail to each Securityholder a brief report dated as of such May 15 that complies with TIA § 313(a) (but if no event described in TIA § 313(1) through (8) has occurred within the twelve months preceding the reporting date no report in relation thereto need be transmitted). The Trustee also shall comply with TIA § 313(b). </w:t>
      </w:r>
    </w:p>
    <w:p>
      <w:pPr>
        <w:pStyle w:val="TextBody"/>
        <w:bidi w:val="0"/>
        <w:spacing w:before="240" w:after="0"/>
        <w:jc w:val="left"/>
        <w:rPr>
          <w:rFonts w:ascii="Times New Roman" w:hAnsi="Times New Roman"/>
          <w:sz w:val="20"/>
        </w:rPr>
      </w:pPr>
      <w:r>
        <w:rPr>
          <w:rFonts w:ascii="Times New Roman" w:hAnsi="Times New Roman"/>
          <w:sz w:val="20"/>
        </w:rPr>
        <w:t xml:space="preserve">A copy of each report at the time of its mailing to Securityholders shall be delivered to the Company and filed by the Trustee with the SEC and each national securities exchange on which the Securities are listed. The Company agrees to notify the Trustee of each national securities exchange on which the Securities are listed.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7.07 </w:t>
      </w:r>
      <w:r>
        <w:rPr>
          <w:rFonts w:ascii="Times New Roman" w:hAnsi="Times New Roman"/>
          <w:b/>
          <w:sz w:val="20"/>
          <w:u w:val="single"/>
        </w:rPr>
        <w:t>Compensation and Indemnity.</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shall pay to the Trustee from time to time reasonable compensation for its services subject to any written agreement between the Trustee and the Company (which compensation shall not be limited by any provision of law in regard to the compensation of a trustee of an express trust). The Company shall reimburse the Trustee upon request for all reasonable out-of-pocket expenses incurred by it. Such expenses shall include the reasonable compensation and expenses of the Trustee’s agents and counsel. The Company shall indemnify the Trustee, its officers, directors, employees and agents and hold it harmless against any loss, liability or expense incurred or made by or on behalf of it in connection with the administration of this Indenture or the trust hereunder and its duties hereunder including the costs and expenses of defending itself against or investigating any claim in the premises. The Trustee shall notify the Company promptly of any claim of which it has received written notice and for which it may seek indemnity. The Company need not reimburse any expense or indemnify against any loss or liability incurred by the Trustee through the Trustee’s, or its officers’, directors’, or employees’ negligence or willful misconduct.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in any supplemental indenture or Authorizing Resolution relating to any Series, to ensure the Company’s payment obligations in this Section, the Trustee shall have a claim prior to the Securities of all Series on all money or Property held or collected by the Trustee, except that held in trust to pay principal of or interest on particular Securities. When the Trustee incurs expenses or renders services in connection with an Event of Default specified in </w:t>
      </w:r>
      <w:r>
        <w:rPr>
          <w:rFonts w:ascii="Times New Roman" w:hAnsi="Times New Roman"/>
          <w:sz w:val="20"/>
          <w:u w:val="single"/>
        </w:rPr>
        <w:t>Section 6.01</w:t>
      </w:r>
      <w:r>
        <w:rPr>
          <w:rFonts w:ascii="Times New Roman" w:hAnsi="Times New Roman"/>
          <w:sz w:val="20"/>
        </w:rPr>
        <w:t xml:space="preserve"> or in connection with </w:t>
      </w:r>
      <w:r>
        <w:rPr>
          <w:rFonts w:ascii="Times New Roman" w:hAnsi="Times New Roman"/>
          <w:sz w:val="20"/>
          <w:u w:val="single"/>
        </w:rPr>
        <w:t>Article Six</w:t>
      </w:r>
      <w:r>
        <w:rPr>
          <w:rFonts w:ascii="Times New Roman" w:hAnsi="Times New Roman"/>
          <w:sz w:val="20"/>
        </w:rPr>
        <w:t xml:space="preserve"> hereof, the expenses (including the reasonable fees and expenses of its counsel) and the compensation for services in connection therewith are to constitute expenses of administration under any Bankruptcy Law. Section 7.07 shall survive the discharge of the Indenture or resignation of Trustee.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7.08 </w:t>
      </w:r>
      <w:r>
        <w:rPr>
          <w:rFonts w:ascii="Times New Roman" w:hAnsi="Times New Roman"/>
          <w:b/>
          <w:sz w:val="20"/>
          <w:u w:val="single"/>
        </w:rPr>
        <w:t>Replacement of Trustee.</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Trustee may resign with respect to Securities of any or all Series by so notifying the Company. The Holders of a majority in principal amount of the outstanding Securities (or of the relevant Series) may remove the Trustee by so notifying the removed Trustee in writing and may appoint a successor trustee with the Company’s consent. Such resignation or removal shall not take effect until the appointment by the Securityholders of the relevant Series or the Company as hereinafter provided of a successor trustee and the acceptance of such appointment by such successor trustee. The Company may remove the Trustee and any Securityholder may petition any court of competent jurisdiction for the removal of the Trustee and the appointment of a successor trustee for any or no reason, including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fails to comply with </w:t>
            </w:r>
            <w:r>
              <w:rPr>
                <w:rFonts w:ascii="Times New Roman" w:hAnsi="Times New Roman"/>
                <w:sz w:val="20"/>
                <w:u w:val="single"/>
              </w:rPr>
              <w:t>Section 7.10</w:t>
            </w:r>
            <w:r>
              <w:rPr>
                <w:rFonts w:ascii="Times New Roman" w:hAnsi="Times New Roman"/>
                <w:sz w:val="20"/>
              </w:rPr>
              <w:t xml:space="preserve"> after written request by the Company or any bona fide Securityholder who has been a Securityholder for at least six months;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is adjudged a bankrupt or an insolvent;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receiver or other public officer takes charge of the Trustee or its Property;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becomes incapable of acting.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Trustee resigns or is removed or if a vacancy exists in the office of Trustee for any reason, the Company shall promptly appoint a successor trustee with respect to the Securities of the relevant Series. If a successor trustee does not take office within 30 days after the retiring Trustee resigns or is removed, the retiring Trustee at the expense of the Company, the Company or any Holder may petition any court of competent jurisdiction for the appointment of a successor trustee. </w:t>
      </w:r>
    </w:p>
    <w:p>
      <w:pPr>
        <w:pStyle w:val="TextBody"/>
        <w:bidi w:val="0"/>
        <w:spacing w:before="240" w:after="0"/>
        <w:jc w:val="left"/>
        <w:rPr>
          <w:rFonts w:ascii="Times New Roman" w:hAnsi="Times New Roman"/>
          <w:sz w:val="20"/>
        </w:rPr>
      </w:pPr>
      <w:r>
        <w:rPr>
          <w:rFonts w:ascii="Times New Roman" w:hAnsi="Times New Roman"/>
          <w:sz w:val="20"/>
        </w:rPr>
        <w:t xml:space="preserve">A successor trustee shall deliver a written acceptance of its appointment to the retiring Trustee and to the Company. Immediately after that, the retiring Trustee shall, upon payment of its charges hereunder, transfer all </w:t>
      </w:r>
    </w:p>
    <w:p>
      <w:pPr>
        <w:pStyle w:val="TextBody"/>
        <w:bidi w:val="0"/>
        <w:spacing w:before="0" w:after="0"/>
        <w:jc w:val="left"/>
        <w:rPr>
          <w:rFonts w:ascii="Times New Roman" w:hAnsi="Times New Roman"/>
          <w:sz w:val="20"/>
        </w:rPr>
      </w:pPr>
      <w:r>
        <w:rPr>
          <w:rFonts w:ascii="Times New Roman" w:hAnsi="Times New Roman"/>
          <w:sz w:val="20"/>
        </w:rPr>
        <w:t xml:space="preserve">Property held by it as Trustee to the successor trustee, the resignation or removal of the retiring Trustee shall become effective, and the successor trustee shall have all the rights, powers and duties of the Trustee under this Indenture. A successor trustee shall mail notice of its succession to each Securityholder.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7.09 </w:t>
      </w:r>
      <w:r>
        <w:rPr>
          <w:rFonts w:ascii="Times New Roman" w:hAnsi="Times New Roman"/>
          <w:b/>
          <w:sz w:val="20"/>
          <w:u w:val="single"/>
        </w:rPr>
        <w:t>Successor Trustee by Merger, etc.</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the Trustee consolidates with, merges with or into or converts into, or transfers all or substantially all of its corporate trust business to, another corporation, the successor corporation without any further act shall be the successor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7.10 </w:t>
      </w:r>
      <w:r>
        <w:rPr>
          <w:rFonts w:ascii="Times New Roman" w:hAnsi="Times New Roman"/>
          <w:b/>
          <w:sz w:val="20"/>
          <w:u w:val="single"/>
        </w:rPr>
        <w:t>Eligibility; Disqualification.</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This Indenture shall always have a Trustee who satisfies the requirements of TIA § 310(a)(1). The Trustee shall have a combined capital and surplus of at least $10,000,000 as set forth in its most recent published annual report of condition. The Trustee shall comply with TIA § 310(b).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7.11 </w:t>
      </w:r>
      <w:r>
        <w:rPr>
          <w:rFonts w:ascii="Times New Roman" w:hAnsi="Times New Roman"/>
          <w:b/>
          <w:sz w:val="20"/>
          <w:u w:val="single"/>
        </w:rPr>
        <w:t>Preferential Collection of Claims Against Company.</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Trustee shall comply with TIA § 311(a), excluding any creditor relationship listed in TIA § 311(b). A Trustee who has resigned or been removed shall be subject to TIA § 311(a) to the extent indicated therein.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EIGHT </w:t>
      </w:r>
    </w:p>
    <w:p>
      <w:pPr>
        <w:pStyle w:val="TextBody"/>
        <w:bidi w:val="0"/>
        <w:spacing w:before="0" w:after="0"/>
        <w:jc w:val="center"/>
        <w:rPr>
          <w:rFonts w:ascii="Times New Roman" w:hAnsi="Times New Roman"/>
          <w:b/>
          <w:sz w:val="20"/>
        </w:rPr>
      </w:pPr>
      <w:r>
        <w:rPr>
          <w:rFonts w:ascii="Times New Roman" w:hAnsi="Times New Roman"/>
          <w:b/>
          <w:sz w:val="20"/>
        </w:rPr>
        <w:t xml:space="preserve">DISCHARGE OF INDENTURE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8.01 </w:t>
      </w:r>
      <w:r>
        <w:rPr>
          <w:rFonts w:ascii="Times New Roman" w:hAnsi="Times New Roman"/>
          <w:b/>
          <w:sz w:val="20"/>
          <w:u w:val="single"/>
        </w:rPr>
        <w:t>Defeasance upon Deposit of Moneys or Government Obligations.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may, at its option and at any time, elect to have either </w:t>
      </w:r>
      <w:r>
        <w:rPr>
          <w:rFonts w:ascii="Times New Roman" w:hAnsi="Times New Roman"/>
          <w:sz w:val="20"/>
          <w:u w:val="single"/>
        </w:rPr>
        <w:t>paragraph (b)</w:t>
      </w:r>
      <w:r>
        <w:rPr>
          <w:rFonts w:ascii="Times New Roman" w:hAnsi="Times New Roman"/>
          <w:sz w:val="20"/>
        </w:rPr>
        <w:t xml:space="preserve"> or </w:t>
      </w:r>
      <w:r>
        <w:rPr>
          <w:rFonts w:ascii="Times New Roman" w:hAnsi="Times New Roman"/>
          <w:sz w:val="20"/>
          <w:u w:val="single"/>
        </w:rPr>
        <w:t>paragraph (c)</w:t>
      </w:r>
      <w:r>
        <w:rPr>
          <w:rFonts w:ascii="Times New Roman" w:hAnsi="Times New Roman"/>
          <w:sz w:val="20"/>
        </w:rPr>
        <w:t xml:space="preserve"> below be applied to the outstanding Securities of any Series upon compliance with the applicable conditions set forth in </w:t>
      </w:r>
      <w:r>
        <w:rPr>
          <w:rFonts w:ascii="Times New Roman" w:hAnsi="Times New Roman"/>
          <w:sz w:val="20"/>
          <w:u w:val="single"/>
        </w:rPr>
        <w:t>paragraph (d)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Upon the Company’s exercise under </w:t>
      </w:r>
      <w:r>
        <w:rPr>
          <w:rFonts w:ascii="Times New Roman" w:hAnsi="Times New Roman"/>
          <w:sz w:val="20"/>
          <w:u w:val="single"/>
        </w:rPr>
        <w:t>paragraph (a)</w:t>
      </w:r>
      <w:r>
        <w:rPr>
          <w:rFonts w:ascii="Times New Roman" w:hAnsi="Times New Roman"/>
          <w:sz w:val="20"/>
        </w:rPr>
        <w:t xml:space="preserve"> of the option applicable to this </w:t>
      </w:r>
      <w:r>
        <w:rPr>
          <w:rFonts w:ascii="Times New Roman" w:hAnsi="Times New Roman"/>
          <w:sz w:val="20"/>
          <w:u w:val="single"/>
        </w:rPr>
        <w:t>paragraph (b)</w:t>
      </w:r>
      <w:r>
        <w:rPr>
          <w:rFonts w:ascii="Times New Roman" w:hAnsi="Times New Roman"/>
          <w:sz w:val="20"/>
        </w:rPr>
        <w:t> with respect to any Series, the Company shall be deemed to have been released and discharged from its obligations with respect to the outstanding Securities of the Series on the date the applicable conditions set forth below are satisfied (hereinafter, “</w:t>
      </w:r>
      <w:r>
        <w:rPr>
          <w:rFonts w:ascii="Times New Roman" w:hAnsi="Times New Roman"/>
          <w:b/>
          <w:sz w:val="20"/>
        </w:rPr>
        <w:t>Legal Defeasance</w:t>
      </w:r>
      <w:r>
        <w:rPr>
          <w:rFonts w:ascii="Times New Roman" w:hAnsi="Times New Roman"/>
          <w:sz w:val="20"/>
        </w:rPr>
        <w:t xml:space="preserve">”). For this purpose, such Legal Defeasance means that the Company shall be deemed to have paid and discharged the entire indebtedness represented by the outstanding Securities of a Series, which shall thereafter be deemed to be “outstanding” only for the purposes of the Sections and matters under this Indenture referred to in (i) and (ii) below, and the Company shall be deemed to have satisfied all its other obligations under such Securities and this Indenture insofar as such Securities are concerned, except for the following which shall survive until otherwise terminated or discharged hereunder: (i) the rights of Holders of outstanding Securities of a Series to receive solely from the trust fund described in </w:t>
      </w:r>
      <w:r>
        <w:rPr>
          <w:rFonts w:ascii="Times New Roman" w:hAnsi="Times New Roman"/>
          <w:sz w:val="20"/>
          <w:u w:val="single"/>
        </w:rPr>
        <w:t>paragraph (d)</w:t>
      </w:r>
      <w:r>
        <w:rPr>
          <w:rFonts w:ascii="Times New Roman" w:hAnsi="Times New Roman"/>
          <w:sz w:val="20"/>
        </w:rPr>
        <w:t xml:space="preserve"> below and as more fully set forth in such paragraph, payments in respect of the principal of and interest on such Securities when such payments are due and (ii) obligations listed in </w:t>
      </w:r>
      <w:r>
        <w:rPr>
          <w:rFonts w:ascii="Times New Roman" w:hAnsi="Times New Roman"/>
          <w:sz w:val="20"/>
          <w:u w:val="single"/>
        </w:rPr>
        <w:t>Section 8.02</w:t>
      </w:r>
      <w:r>
        <w:rPr>
          <w:rFonts w:ascii="Times New Roman" w:hAnsi="Times New Roman"/>
          <w:sz w:val="20"/>
        </w:rPr>
        <w:t xml:space="preserve">, subject to compliance with this </w:t>
      </w:r>
      <w:r>
        <w:rPr>
          <w:rFonts w:ascii="Times New Roman" w:hAnsi="Times New Roman"/>
          <w:sz w:val="20"/>
          <w:u w:val="single"/>
        </w:rPr>
        <w:t>Section 8.01</w:t>
      </w:r>
      <w:r>
        <w:rPr>
          <w:rFonts w:ascii="Times New Roman" w:hAnsi="Times New Roman"/>
          <w:sz w:val="20"/>
        </w:rPr>
        <w:t xml:space="preserve">. The Company may exercise its option under this </w:t>
      </w:r>
      <w:r>
        <w:rPr>
          <w:rFonts w:ascii="Times New Roman" w:hAnsi="Times New Roman"/>
          <w:sz w:val="20"/>
          <w:u w:val="single"/>
        </w:rPr>
        <w:t>paragraph (b)</w:t>
      </w:r>
      <w:r>
        <w:rPr>
          <w:rFonts w:ascii="Times New Roman" w:hAnsi="Times New Roman"/>
          <w:sz w:val="20"/>
        </w:rPr>
        <w:t xml:space="preserve"> with respect to a Series notwithstanding the prior exercise of its option under </w:t>
      </w:r>
      <w:r>
        <w:rPr>
          <w:rFonts w:ascii="Times New Roman" w:hAnsi="Times New Roman"/>
          <w:sz w:val="20"/>
          <w:u w:val="single"/>
        </w:rPr>
        <w:t>paragraph (c)</w:t>
      </w:r>
      <w:r>
        <w:rPr>
          <w:rFonts w:ascii="Times New Roman" w:hAnsi="Times New Roman"/>
          <w:sz w:val="20"/>
        </w:rPr>
        <w:t xml:space="preserve"> below with respect to the Securities of the Series. </w:t>
      </w:r>
    </w:p>
    <w:p>
      <w:pPr>
        <w:pStyle w:val="TextBody"/>
        <w:bidi w:val="0"/>
        <w:spacing w:before="240" w:after="0"/>
        <w:jc w:val="left"/>
        <w:rPr>
          <w:rFonts w:ascii="Times New Roman" w:hAnsi="Times New Roman"/>
          <w:sz w:val="20"/>
        </w:rPr>
      </w:pPr>
      <w:r>
        <w:rPr>
          <w:rFonts w:ascii="Times New Roman" w:hAnsi="Times New Roman"/>
          <w:sz w:val="20"/>
        </w:rPr>
        <w:t xml:space="preserve">(c) Upon the Company’s exercise under </w:t>
      </w:r>
      <w:r>
        <w:rPr>
          <w:rFonts w:ascii="Times New Roman" w:hAnsi="Times New Roman"/>
          <w:sz w:val="20"/>
          <w:u w:val="single"/>
        </w:rPr>
        <w:t>paragraph (a)</w:t>
      </w:r>
      <w:r>
        <w:rPr>
          <w:rFonts w:ascii="Times New Roman" w:hAnsi="Times New Roman"/>
          <w:sz w:val="20"/>
        </w:rPr>
        <w:t xml:space="preserve"> of the option applicable to this </w:t>
      </w:r>
      <w:r>
        <w:rPr>
          <w:rFonts w:ascii="Times New Roman" w:hAnsi="Times New Roman"/>
          <w:sz w:val="20"/>
          <w:u w:val="single"/>
        </w:rPr>
        <w:t>paragraph (c)</w:t>
      </w:r>
      <w:r>
        <w:rPr>
          <w:rFonts w:ascii="Times New Roman" w:hAnsi="Times New Roman"/>
          <w:sz w:val="20"/>
        </w:rPr>
        <w:t xml:space="preserve"> with respect to a Series, the Company shall be released and discharged from the obligations under any covenant contained in </w:t>
      </w:r>
      <w:r>
        <w:rPr>
          <w:rFonts w:ascii="Times New Roman" w:hAnsi="Times New Roman"/>
          <w:sz w:val="20"/>
          <w:u w:val="single"/>
        </w:rPr>
        <w:t>Article Five</w:t>
      </w:r>
      <w:r>
        <w:rPr>
          <w:rFonts w:ascii="Times New Roman" w:hAnsi="Times New Roman"/>
          <w:sz w:val="20"/>
        </w:rPr>
        <w:t xml:space="preserve">, </w:t>
      </w:r>
      <w:r>
        <w:rPr>
          <w:rFonts w:ascii="Times New Roman" w:hAnsi="Times New Roman"/>
          <w:sz w:val="20"/>
          <w:u w:val="single"/>
        </w:rPr>
        <w:t>Sections 4.03</w:t>
      </w:r>
      <w:r>
        <w:rPr>
          <w:rFonts w:ascii="Times New Roman" w:hAnsi="Times New Roman"/>
          <w:sz w:val="20"/>
        </w:rPr>
        <w:t xml:space="preserve"> and any other covenant contained in or referenced in the Authorizing Resolution or supplemental indenture relating to such Series (to the extent such release and discharge shall not be prohibited thereby), on and after the date the conditions set forth below are satisfied (hereinafter, “</w:t>
      </w:r>
      <w:r>
        <w:rPr>
          <w:rFonts w:ascii="Times New Roman" w:hAnsi="Times New Roman"/>
          <w:b/>
          <w:sz w:val="20"/>
        </w:rPr>
        <w:t>Covenant Defeasance</w:t>
      </w:r>
      <w:r>
        <w:rPr>
          <w:rFonts w:ascii="Times New Roman" w:hAnsi="Times New Roman"/>
          <w:sz w:val="20"/>
        </w:rPr>
        <w:t xml:space="preserve">”), and the Securities of such Series shall thereafter be deemed to be not “outstanding” for the purpose of any direction, waiver, consent or declaration or act of Holders (and the consequences of any thereof) in connection with such covenants, but shall continue to be deemed “outstanding” for all other purposes hereunder. For this purpose, such Covenant Defeasance means that, with respect to the outstanding Securities of a Series, the Company may omit to comply with and shall have no liability in respect of any term, condition or limitation set forth in the covenants described in the preceding sentence,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w:t>
      </w:r>
      <w:r>
        <w:rPr>
          <w:rFonts w:ascii="Times New Roman" w:hAnsi="Times New Roman"/>
          <w:sz w:val="20"/>
          <w:u w:val="single"/>
        </w:rPr>
        <w:t>Section 6.01(3)</w:t>
      </w:r>
      <w:r>
        <w:rPr>
          <w:rFonts w:ascii="Times New Roman" w:hAnsi="Times New Roman"/>
          <w:sz w:val="20"/>
        </w:rPr>
        <w:t xml:space="preserve"> or otherwise, but, except as specified above, the remainder of this Indenture and such Securities shall be unaffected thereby. </w:t>
      </w:r>
    </w:p>
    <w:p>
      <w:pPr>
        <w:pStyle w:val="TextBody"/>
        <w:bidi w:val="0"/>
        <w:spacing w:before="240" w:after="0"/>
        <w:jc w:val="left"/>
        <w:rPr>
          <w:rFonts w:ascii="Times New Roman" w:hAnsi="Times New Roman"/>
          <w:sz w:val="20"/>
        </w:rPr>
      </w:pPr>
      <w:r>
        <w:rPr>
          <w:rFonts w:ascii="Times New Roman" w:hAnsi="Times New Roman"/>
          <w:sz w:val="20"/>
        </w:rPr>
        <w:t xml:space="preserve">(d) The following shall be the conditions to application of either </w:t>
      </w:r>
      <w:r>
        <w:rPr>
          <w:rFonts w:ascii="Times New Roman" w:hAnsi="Times New Roman"/>
          <w:sz w:val="20"/>
          <w:u w:val="single"/>
        </w:rPr>
        <w:t>paragraph (b)</w:t>
      </w:r>
      <w:r>
        <w:rPr>
          <w:rFonts w:ascii="Times New Roman" w:hAnsi="Times New Roman"/>
          <w:sz w:val="20"/>
        </w:rPr>
        <w:t xml:space="preserve"> or </w:t>
      </w:r>
      <w:r>
        <w:rPr>
          <w:rFonts w:ascii="Times New Roman" w:hAnsi="Times New Roman"/>
          <w:sz w:val="20"/>
          <w:u w:val="single"/>
        </w:rPr>
        <w:t>paragraph (c)</w:t>
      </w:r>
      <w:r>
        <w:rPr>
          <w:rFonts w:ascii="Times New Roman" w:hAnsi="Times New Roman"/>
          <w:sz w:val="20"/>
        </w:rPr>
        <w:t xml:space="preserve"> above to the outstanding Securities of the applicable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 The Company shall have irrevocably deposited in trust with the Trustee (or another qualifying trustee), pursuant to an irrevocable trust and security agreement in form and substance reasonably satisfactory to the Trustee, money in the currency in which the Securities of such Series are payable or Government Obligations or a combination thereof in such amounts and at such times as are sufficient, in the opinion of a nationally recognized firm of independent public accountants, to pay the principal of and interest on the outstanding Securities of such Series to maturity or redemption; </w:t>
      </w:r>
      <w:r>
        <w:rPr>
          <w:rFonts w:ascii="Times New Roman" w:hAnsi="Times New Roman"/>
          <w:i/>
          <w:sz w:val="20"/>
        </w:rPr>
        <w:t>provided, however,</w:t>
      </w:r>
      <w:r>
        <w:rPr>
          <w:rFonts w:ascii="Times New Roman" w:hAnsi="Times New Roman"/>
          <w:sz w:val="20"/>
        </w:rPr>
        <w:t xml:space="preserve"> that the Trustee (or other qualifying trustee) shall have received an irrevocable written order from the Company instructing the Trustee (or other qualifying trustee) to apply such money or the proceeds of such Government Obligations to said payments with respect to the Securities of such Series to maturity or redemption; </w:t>
      </w:r>
    </w:p>
    <w:p>
      <w:pPr>
        <w:pStyle w:val="TextBody"/>
        <w:bidi w:val="0"/>
        <w:spacing w:before="240" w:after="0"/>
        <w:jc w:val="left"/>
        <w:rPr>
          <w:rFonts w:ascii="Times New Roman" w:hAnsi="Times New Roman"/>
          <w:sz w:val="20"/>
        </w:rPr>
      </w:pPr>
      <w:r>
        <w:rPr>
          <w:rFonts w:ascii="Times New Roman" w:hAnsi="Times New Roman"/>
          <w:sz w:val="20"/>
        </w:rPr>
        <w:t xml:space="preserve">(2) No Default or Event of Default (other than a Default or Event of Default resulting from non-compliance with any covenant from which the Company is released upon effectiveness of such Legal Defeasance or Covenant Defeasance pursuant to </w:t>
      </w:r>
      <w:r>
        <w:rPr>
          <w:rFonts w:ascii="Times New Roman" w:hAnsi="Times New Roman"/>
          <w:sz w:val="20"/>
          <w:u w:val="single"/>
        </w:rPr>
        <w:t>paragraph (b)</w:t>
      </w:r>
      <w:r>
        <w:rPr>
          <w:rFonts w:ascii="Times New Roman" w:hAnsi="Times New Roman"/>
          <w:sz w:val="20"/>
        </w:rPr>
        <w:t xml:space="preserve"> or </w:t>
      </w:r>
      <w:r>
        <w:rPr>
          <w:rFonts w:ascii="Times New Roman" w:hAnsi="Times New Roman"/>
          <w:sz w:val="20"/>
          <w:u w:val="single"/>
        </w:rPr>
        <w:t xml:space="preserve">(c) </w:t>
      </w:r>
      <w:r>
        <w:rPr>
          <w:rFonts w:ascii="Times New Roman" w:hAnsi="Times New Roman"/>
          <w:sz w:val="20"/>
        </w:rPr>
        <w:t xml:space="preserve">hereof, as applicable) shall have occurred and be continuing on the date of such deposit or result therefrom; </w:t>
      </w:r>
    </w:p>
    <w:p>
      <w:pPr>
        <w:pStyle w:val="TextBody"/>
        <w:bidi w:val="0"/>
        <w:spacing w:before="240" w:after="0"/>
        <w:jc w:val="left"/>
        <w:rPr>
          <w:rFonts w:ascii="Times New Roman" w:hAnsi="Times New Roman"/>
          <w:sz w:val="20"/>
        </w:rPr>
      </w:pPr>
      <w:r>
        <w:rPr>
          <w:rFonts w:ascii="Times New Roman" w:hAnsi="Times New Roman"/>
          <w:sz w:val="20"/>
        </w:rPr>
        <w:t xml:space="preserve">(3) (i) In the event the Company elects </w:t>
      </w:r>
      <w:r>
        <w:rPr>
          <w:rFonts w:ascii="Times New Roman" w:hAnsi="Times New Roman"/>
          <w:sz w:val="20"/>
          <w:u w:val="single"/>
        </w:rPr>
        <w:t>paragraph (b)</w:t>
      </w:r>
      <w:r>
        <w:rPr>
          <w:rFonts w:ascii="Times New Roman" w:hAnsi="Times New Roman"/>
          <w:sz w:val="20"/>
        </w:rPr>
        <w:t xml:space="preserve"> hereof, the Company shall deliver to the Trustee an Opinion of Counsel in the United States, in form and substance reasonably satisfactory to the Trustee, to the effect that (A) the Company has received from, or there has been published by, the Internal Revenue Service a ruling or (B) since the Issue Date pertaining to such Series, there has been a change in the applicable federal income tax law, in either case to the effect that, and based thereon such Opinion of Counsel shall state that, or (ii) in the event the Company elects </w:t>
      </w:r>
      <w:r>
        <w:rPr>
          <w:rFonts w:ascii="Times New Roman" w:hAnsi="Times New Roman"/>
          <w:sz w:val="20"/>
          <w:u w:val="single"/>
        </w:rPr>
        <w:t>paragraph (c)</w:t>
      </w:r>
      <w:r>
        <w:rPr>
          <w:rFonts w:ascii="Times New Roman" w:hAnsi="Times New Roman"/>
          <w:sz w:val="20"/>
        </w:rPr>
        <w:t xml:space="preserve"> hereof, the Company shall deliver to the Trustee an Opinion of Counsel in the United States, in form and substance reasonably satisfactory to the Trustee, to the effect that, in the case of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and subject to customary assumptions and exclusions, Holders of the Securities of such Series will not recognize income, gain or loss for federal income tax purposes as a result of such deposit and the defeasance contemplated hereby and will be subject to federal income tax in the same amounts and in the same manner and at the same times as would have been the case if such deposit and defeasance had not occurred; </w:t>
      </w:r>
    </w:p>
    <w:p>
      <w:pPr>
        <w:pStyle w:val="TextBody"/>
        <w:bidi w:val="0"/>
        <w:spacing w:before="240" w:after="0"/>
        <w:jc w:val="left"/>
        <w:rPr>
          <w:rFonts w:ascii="Times New Roman" w:hAnsi="Times New Roman"/>
          <w:sz w:val="20"/>
        </w:rPr>
      </w:pPr>
      <w:r>
        <w:rPr>
          <w:rFonts w:ascii="Times New Roman" w:hAnsi="Times New Roman"/>
          <w:sz w:val="20"/>
        </w:rPr>
        <w:t xml:space="preserve">(4) The Company shall have delivered to the Trustee an Officers’ Certificate, stating that the deposit under </w:t>
      </w:r>
      <w:r>
        <w:rPr>
          <w:rFonts w:ascii="Times New Roman" w:hAnsi="Times New Roman"/>
          <w:sz w:val="20"/>
          <w:u w:val="single"/>
        </w:rPr>
        <w:t>clause (1)</w:t>
      </w:r>
      <w:r>
        <w:rPr>
          <w:rFonts w:ascii="Times New Roman" w:hAnsi="Times New Roman"/>
          <w:sz w:val="20"/>
        </w:rPr>
        <w:t xml:space="preserve"> was not made by the Company with the intent of preferring the Holders of the Securities of such Series over any other creditors of the Company or with the intent of defeating, hindering, delaying or defrauding any other creditors of the Company or others; </w:t>
      </w:r>
    </w:p>
    <w:p>
      <w:pPr>
        <w:pStyle w:val="TextBody"/>
        <w:bidi w:val="0"/>
        <w:spacing w:before="240" w:after="0"/>
        <w:jc w:val="left"/>
        <w:rPr>
          <w:rFonts w:ascii="Times New Roman" w:hAnsi="Times New Roman"/>
          <w:sz w:val="20"/>
        </w:rPr>
      </w:pPr>
      <w:r>
        <w:rPr>
          <w:rFonts w:ascii="Times New Roman" w:hAnsi="Times New Roman"/>
          <w:sz w:val="20"/>
        </w:rPr>
        <w:t xml:space="preserve">(5) The Company shall have delivered to the Trustee an Opinion of Counsel (subject to customary assumptions and qualifications) to the effect that, assuming no intervening bankruptcy of the Company between the date of deposit and the 91st day following the deposit and assuming that no Holder is an “insider” of the Company under applicable Bankruptcy Law, after the 91st day following the deposit, the trust funds shall not be subject to the effect of Section 547 of the United States Bankruptcy Code or any analogous New York State law provision; and </w:t>
      </w:r>
    </w:p>
    <w:p>
      <w:pPr>
        <w:pStyle w:val="TextBody"/>
        <w:bidi w:val="0"/>
        <w:spacing w:before="240" w:after="0"/>
        <w:jc w:val="left"/>
        <w:rPr>
          <w:rFonts w:ascii="Times New Roman" w:hAnsi="Times New Roman"/>
          <w:sz w:val="20"/>
        </w:rPr>
      </w:pPr>
      <w:r>
        <w:rPr>
          <w:rFonts w:ascii="Times New Roman" w:hAnsi="Times New Roman"/>
          <w:sz w:val="20"/>
        </w:rPr>
        <w:t xml:space="preserve">(6) The Company has delivered to the Trustee an Officers’ Certificate and an Opinion of Counsel, each stating that all conditions precedent specified herein relating to the defeasance contemplated by this </w:t>
      </w:r>
      <w:r>
        <w:rPr>
          <w:rFonts w:ascii="Times New Roman" w:hAnsi="Times New Roman"/>
          <w:sz w:val="20"/>
          <w:u w:val="single"/>
        </w:rPr>
        <w:t>Section 8.01</w:t>
      </w:r>
      <w:r>
        <w:rPr>
          <w:rFonts w:ascii="Times New Roman" w:hAnsi="Times New Roman"/>
          <w:sz w:val="20"/>
        </w:rPr>
        <w:t xml:space="preserve">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In the event all or any portion of the Securities of a Series are to be redeemed through such irrevocable trust, the Company must make arrangements satisfactory to the Trustee, at the time of such deposit, for the giving of the notice of such redemption or redemptions by the Trustee in the name and at the expense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(e) In addition to the Company’s rights above under this </w:t>
      </w:r>
      <w:r>
        <w:rPr>
          <w:rFonts w:ascii="Times New Roman" w:hAnsi="Times New Roman"/>
          <w:sz w:val="20"/>
          <w:u w:val="single"/>
        </w:rPr>
        <w:t>Section 8.01</w:t>
      </w:r>
      <w:r>
        <w:rPr>
          <w:rFonts w:ascii="Times New Roman" w:hAnsi="Times New Roman"/>
          <w:sz w:val="20"/>
        </w:rPr>
        <w:t xml:space="preserve">, the Company may terminate all of its obligations under this Indenture with respect to a Series, when: </w:t>
      </w:r>
    </w:p>
    <w:p>
      <w:pPr>
        <w:pStyle w:val="TextBody"/>
        <w:bidi w:val="0"/>
        <w:spacing w:before="240" w:after="0"/>
        <w:jc w:val="left"/>
        <w:rPr>
          <w:rFonts w:ascii="Times New Roman" w:hAnsi="Times New Roman"/>
          <w:sz w:val="20"/>
        </w:rPr>
      </w:pPr>
      <w:r>
        <w:rPr>
          <w:rFonts w:ascii="Times New Roman" w:hAnsi="Times New Roman"/>
          <w:sz w:val="20"/>
        </w:rPr>
        <w:t xml:space="preserve">(1) All Securities of such Series theretofore authenticated and delivered (other than Securities which have been destroyed, lost or stolen and which have been replaced or paid as provided in </w:t>
      </w:r>
      <w:r>
        <w:rPr>
          <w:rFonts w:ascii="Times New Roman" w:hAnsi="Times New Roman"/>
          <w:sz w:val="20"/>
          <w:u w:val="single"/>
        </w:rPr>
        <w:t>Section 2.07</w:t>
      </w:r>
      <w:r>
        <w:rPr>
          <w:rFonts w:ascii="Times New Roman" w:hAnsi="Times New Roman"/>
          <w:sz w:val="20"/>
        </w:rPr>
        <w:t xml:space="preserve"> and Securities for whose payment money has theretofore been deposited in trust or segregated and held in trust by the Company and thereafter repaid to the Company or discharged from such trust) have been delivered to the Trustee for cancellation or all such Securities not theretofore delivered to the Trustee for cancellation (A) have become due and payable, (B) will become due and payable at maturity within one year or (C) are to be called for redemption within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one year under arrangements satisfactory to the Trustee for the giving of notice of redemption by the Trustee in the name, and at the expense, of the Company, and in each such case, the Company has irrevocably deposited or caused to be deposited with the Trustee (or another qualifying trustee) as trust funds in trust solely for that purpose an amount of money in the currency in which the Securities of such Series are payable or Government Obligations or a combination thereof sufficient, in the opinion of a nationally recognized firm of independent public accountants, to pay and discharge the entire indebtedness on the Securities of such Series not theretofore delivered to the Trustee for cancellation, for principal of and interest on the Securities of such Series, on the date of such deposit or to the maturity or redemption date,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(2) The Company has paid or caused to be paid all other sums payable hereunder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(3) The Company has delivered irrevocable instructions to the Trustee (or such other qualifying trustee), to apply the deposited money toward the payment of the Securities of such Series at maturity or redemption, as the case may be; and </w:t>
      </w:r>
    </w:p>
    <w:p>
      <w:pPr>
        <w:pStyle w:val="TextBody"/>
        <w:bidi w:val="0"/>
        <w:spacing w:before="120" w:after="0"/>
        <w:jc w:val="left"/>
        <w:rPr>
          <w:rFonts w:ascii="Times New Roman" w:hAnsi="Times New Roman"/>
          <w:sz w:val="20"/>
        </w:rPr>
      </w:pPr>
      <w:r>
        <w:rPr>
          <w:rFonts w:ascii="Times New Roman" w:hAnsi="Times New Roman"/>
          <w:sz w:val="20"/>
        </w:rPr>
        <w:t xml:space="preserve">(4) The Company has delivered to the Trustee an Officers’ Certificate and an Opinion of Counsel, stating that all conditions precedent specified in this </w:t>
      </w:r>
      <w:r>
        <w:rPr>
          <w:rFonts w:ascii="Times New Roman" w:hAnsi="Times New Roman"/>
          <w:sz w:val="20"/>
          <w:u w:val="single"/>
        </w:rPr>
        <w:t xml:space="preserve">Section 8.01(e) </w:t>
      </w:r>
      <w:r>
        <w:rPr>
          <w:rFonts w:ascii="Times New Roman" w:hAnsi="Times New Roman"/>
          <w:sz w:val="20"/>
        </w:rPr>
        <w:t xml:space="preserve">relating to the satisfaction and discharge of this Indenture have been complied with. </w:t>
      </w:r>
    </w:p>
    <w:p>
      <w:pPr>
        <w:pStyle w:val="TextBody"/>
        <w:bidi w:val="0"/>
        <w:spacing w:before="360" w:after="0"/>
        <w:jc w:val="left"/>
        <w:rPr>
          <w:rFonts w:ascii="Times New Roman" w:hAnsi="Times New Roman"/>
          <w:b/>
          <w:sz w:val="20"/>
        </w:rPr>
      </w:pPr>
      <w:r>
        <w:rPr>
          <w:rFonts w:ascii="Times New Roman" w:hAnsi="Times New Roman"/>
          <w:b/>
          <w:sz w:val="20"/>
        </w:rPr>
        <w:t xml:space="preserve">Section 8.02 </w:t>
      </w:r>
      <w:r>
        <w:rPr>
          <w:rFonts w:ascii="Times New Roman" w:hAnsi="Times New Roman"/>
          <w:b/>
          <w:sz w:val="20"/>
          <w:u w:val="single"/>
        </w:rPr>
        <w:t>Survival of the Company’s Obligations.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the satisfaction and discharge of this Indenture under </w:t>
      </w:r>
      <w:r>
        <w:rPr>
          <w:rFonts w:ascii="Times New Roman" w:hAnsi="Times New Roman"/>
          <w:sz w:val="20"/>
          <w:u w:val="single"/>
        </w:rPr>
        <w:t>Section 8.01</w:t>
      </w:r>
      <w:r>
        <w:rPr>
          <w:rFonts w:ascii="Times New Roman" w:hAnsi="Times New Roman"/>
          <w:sz w:val="20"/>
        </w:rPr>
        <w:t xml:space="preserve">, the Company’s obligations in </w:t>
      </w:r>
      <w:r>
        <w:rPr>
          <w:rFonts w:ascii="Times New Roman" w:hAnsi="Times New Roman"/>
          <w:sz w:val="20"/>
          <w:u w:val="single"/>
        </w:rPr>
        <w:t>Paragraph 8</w:t>
      </w:r>
      <w:r>
        <w:rPr>
          <w:rFonts w:ascii="Times New Roman" w:hAnsi="Times New Roman"/>
          <w:sz w:val="20"/>
        </w:rPr>
        <w:t xml:space="preserve"> of the Securities and </w:t>
      </w:r>
      <w:r>
        <w:rPr>
          <w:rFonts w:ascii="Times New Roman" w:hAnsi="Times New Roman"/>
          <w:sz w:val="20"/>
          <w:u w:val="single"/>
        </w:rPr>
        <w:t>Sections 2.03</w:t>
      </w:r>
      <w:r>
        <w:rPr>
          <w:rFonts w:ascii="Times New Roman" w:hAnsi="Times New Roman"/>
          <w:sz w:val="20"/>
        </w:rPr>
        <w:t xml:space="preserve"> through </w:t>
      </w:r>
      <w:r>
        <w:rPr>
          <w:rFonts w:ascii="Times New Roman" w:hAnsi="Times New Roman"/>
          <w:sz w:val="20"/>
          <w:u w:val="single"/>
        </w:rPr>
        <w:t>2.07</w:t>
      </w:r>
      <w:r>
        <w:rPr>
          <w:rFonts w:ascii="Times New Roman" w:hAnsi="Times New Roman"/>
          <w:sz w:val="20"/>
        </w:rPr>
        <w:t xml:space="preserve">, </w:t>
      </w:r>
      <w:r>
        <w:rPr>
          <w:rFonts w:ascii="Times New Roman" w:hAnsi="Times New Roman"/>
          <w:sz w:val="20"/>
          <w:u w:val="single"/>
        </w:rPr>
        <w:t>4.01</w:t>
      </w:r>
      <w:r>
        <w:rPr>
          <w:rFonts w:ascii="Times New Roman" w:hAnsi="Times New Roman"/>
          <w:sz w:val="20"/>
        </w:rPr>
        <w:t xml:space="preserve">, </w:t>
      </w:r>
      <w:r>
        <w:rPr>
          <w:rFonts w:ascii="Times New Roman" w:hAnsi="Times New Roman"/>
          <w:sz w:val="20"/>
          <w:u w:val="single"/>
        </w:rPr>
        <w:t>7.07</w:t>
      </w:r>
      <w:r>
        <w:rPr>
          <w:rFonts w:ascii="Times New Roman" w:hAnsi="Times New Roman"/>
          <w:sz w:val="20"/>
        </w:rPr>
        <w:t xml:space="preserve">, </w:t>
      </w:r>
      <w:r>
        <w:rPr>
          <w:rFonts w:ascii="Times New Roman" w:hAnsi="Times New Roman"/>
          <w:sz w:val="20"/>
          <w:u w:val="single"/>
        </w:rPr>
        <w:t>7.08</w:t>
      </w:r>
      <w:r>
        <w:rPr>
          <w:rFonts w:ascii="Times New Roman" w:hAnsi="Times New Roman"/>
          <w:sz w:val="20"/>
        </w:rPr>
        <w:t xml:space="preserve">, </w:t>
      </w:r>
      <w:r>
        <w:rPr>
          <w:rFonts w:ascii="Times New Roman" w:hAnsi="Times New Roman"/>
          <w:sz w:val="20"/>
          <w:u w:val="single"/>
        </w:rPr>
        <w:t>8.04</w:t>
      </w:r>
      <w:r>
        <w:rPr>
          <w:rFonts w:ascii="Times New Roman" w:hAnsi="Times New Roman"/>
          <w:sz w:val="20"/>
        </w:rPr>
        <w:t xml:space="preserve"> and </w:t>
      </w:r>
      <w:r>
        <w:rPr>
          <w:rFonts w:ascii="Times New Roman" w:hAnsi="Times New Roman"/>
          <w:sz w:val="20"/>
          <w:u w:val="single"/>
        </w:rPr>
        <w:t>8.05</w:t>
      </w:r>
      <w:r>
        <w:rPr>
          <w:rFonts w:ascii="Times New Roman" w:hAnsi="Times New Roman"/>
          <w:sz w:val="20"/>
        </w:rPr>
        <w:t xml:space="preserve">, however, shall survive until the Securities of an applicable Series are no longer outstanding. Thereafter, the Company’s obligations in </w:t>
      </w:r>
      <w:r>
        <w:rPr>
          <w:rFonts w:ascii="Times New Roman" w:hAnsi="Times New Roman"/>
          <w:sz w:val="20"/>
          <w:u w:val="single"/>
        </w:rPr>
        <w:t>Paragraph 8</w:t>
      </w:r>
      <w:r>
        <w:rPr>
          <w:rFonts w:ascii="Times New Roman" w:hAnsi="Times New Roman"/>
          <w:sz w:val="20"/>
        </w:rPr>
        <w:t xml:space="preserve"> of the Securities of such Series and </w:t>
      </w:r>
      <w:r>
        <w:rPr>
          <w:rFonts w:ascii="Times New Roman" w:hAnsi="Times New Roman"/>
          <w:sz w:val="20"/>
          <w:u w:val="single"/>
        </w:rPr>
        <w:t>Sections 7.07</w:t>
      </w:r>
      <w:r>
        <w:rPr>
          <w:rFonts w:ascii="Times New Roman" w:hAnsi="Times New Roman"/>
          <w:sz w:val="20"/>
        </w:rPr>
        <w:t xml:space="preserve">, </w:t>
      </w:r>
      <w:r>
        <w:rPr>
          <w:rFonts w:ascii="Times New Roman" w:hAnsi="Times New Roman"/>
          <w:sz w:val="20"/>
          <w:u w:val="single"/>
        </w:rPr>
        <w:t>8.04</w:t>
      </w:r>
      <w:r>
        <w:rPr>
          <w:rFonts w:ascii="Times New Roman" w:hAnsi="Times New Roman"/>
          <w:sz w:val="20"/>
        </w:rPr>
        <w:t xml:space="preserve"> and </w:t>
      </w:r>
      <w:r>
        <w:rPr>
          <w:rFonts w:ascii="Times New Roman" w:hAnsi="Times New Roman"/>
          <w:sz w:val="20"/>
          <w:u w:val="single"/>
        </w:rPr>
        <w:t>8.05</w:t>
      </w:r>
      <w:r>
        <w:rPr>
          <w:rFonts w:ascii="Times New Roman" w:hAnsi="Times New Roman"/>
          <w:sz w:val="20"/>
        </w:rPr>
        <w:t xml:space="preserve"> shall survive (as they relate to such Series) such satisfaction and discharge.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8.03 </w:t>
      </w:r>
      <w:r>
        <w:rPr>
          <w:rFonts w:ascii="Times New Roman" w:hAnsi="Times New Roman"/>
          <w:b/>
          <w:sz w:val="20"/>
          <w:u w:val="single"/>
        </w:rPr>
        <w:t>Application of Trust Money.</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Trustee shall hold in trust money or Government Obligations deposited with it pursuant to </w:t>
      </w:r>
      <w:r>
        <w:rPr>
          <w:rFonts w:ascii="Times New Roman" w:hAnsi="Times New Roman"/>
          <w:sz w:val="20"/>
          <w:u w:val="single"/>
        </w:rPr>
        <w:t>Section 8.01</w:t>
      </w:r>
      <w:r>
        <w:rPr>
          <w:rFonts w:ascii="Times New Roman" w:hAnsi="Times New Roman"/>
          <w:sz w:val="20"/>
        </w:rPr>
        <w:t xml:space="preserve">. It shall apply the deposited money and the money from Government Obligations in accordance with this Indenture to the payment of principal of and interest on the Securities of the defeased Series.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8.04 </w:t>
      </w:r>
      <w:r>
        <w:rPr>
          <w:rFonts w:ascii="Times New Roman" w:hAnsi="Times New Roman"/>
          <w:b/>
          <w:sz w:val="20"/>
          <w:u w:val="single"/>
        </w:rPr>
        <w:t>Repayment to the Company.</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Trustee and the Paying Agent shall promptly pay to the Company upon request any excess money or securities held by them at any time. The Trustee and the Paying Agent shall pay to the Company upon request any money held by them for the payment of principal or interest that remains unclaimed for two years, </w:t>
      </w:r>
      <w:r>
        <w:rPr>
          <w:rFonts w:ascii="Times New Roman" w:hAnsi="Times New Roman"/>
          <w:i/>
          <w:sz w:val="20"/>
        </w:rPr>
        <w:t>provided, however,</w:t>
      </w:r>
      <w:r>
        <w:rPr>
          <w:rFonts w:ascii="Times New Roman" w:hAnsi="Times New Roman"/>
          <w:sz w:val="20"/>
        </w:rPr>
        <w:t xml:space="preserve"> that the Trustee or such Paying Agent, before being required to make any such repayment, may at the expense of the Company cause to be published once in a newspaper of general circulation in the City of New York or mail to each such Holder notice that such money remains unclaimed and that, after a date specified therein, which shall not be less than 30 days from the date of such publication or mailing, any unclaimed balance of such money then remaining will be repaid to the Company. After payment to the Company, Securityholders entitled to the money must look to the Company for payment as general creditors unless applicable abandoned property law designates another person and all liability of the Trustee or such Paying Agent with respect to such money shall cease.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8.05 </w:t>
      </w:r>
      <w:r>
        <w:rPr>
          <w:rFonts w:ascii="Times New Roman" w:hAnsi="Times New Roman"/>
          <w:b/>
          <w:sz w:val="20"/>
          <w:u w:val="single"/>
        </w:rPr>
        <w:t>Reinstatement.</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the Trustee is unable to apply any money or Government Obligations in accordance with </w:t>
      </w:r>
      <w:r>
        <w:rPr>
          <w:rFonts w:ascii="Times New Roman" w:hAnsi="Times New Roman"/>
          <w:sz w:val="20"/>
          <w:u w:val="single"/>
        </w:rPr>
        <w:t>Section 8.01</w:t>
      </w:r>
      <w:r>
        <w:rPr>
          <w:rFonts w:ascii="Times New Roman" w:hAnsi="Times New Roman"/>
          <w:sz w:val="20"/>
        </w:rPr>
        <w:t xml:space="preserve"> by reason of any legal proceeding or by reason of any order or judgment of any court or governmental authority enjoining, restraining or otherwise prohibiting such application, the Company’s obligations under this Indenture and the Securities relating to the Series shall be revived and reinstated as though no deposit had occurred pursuant to </w:t>
      </w:r>
      <w:r>
        <w:rPr>
          <w:rFonts w:ascii="Times New Roman" w:hAnsi="Times New Roman"/>
          <w:sz w:val="20"/>
          <w:u w:val="single"/>
        </w:rPr>
        <w:t>Section 8.01</w:t>
      </w:r>
      <w:r>
        <w:rPr>
          <w:rFonts w:ascii="Times New Roman" w:hAnsi="Times New Roman"/>
          <w:sz w:val="20"/>
        </w:rPr>
        <w:t xml:space="preserve"> until such time as the Trustee is permitted to apply all such money or Government Obligations in accordance with </w:t>
      </w:r>
      <w:r>
        <w:rPr>
          <w:rFonts w:ascii="Times New Roman" w:hAnsi="Times New Roman"/>
          <w:sz w:val="20"/>
          <w:u w:val="single"/>
        </w:rPr>
        <w:t>Section 8.01</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if the Company has made any payment of interest on or principal of any Securities of the Series because of the reinstatement of its obligations hereunder, the Company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 subrogated to the rights of the Holders of such Securities to receive such payment from the money or Government Obligations held by the Trustee and (b) unless otherwise required by any legal proceeding or any order or judgment of any court or governmental authority, the Trustee shall return all such money or Government Obligations to the Company promptly after receiving a written request therefor at any time, if such reinstatement of the Company’s obligations has occurred and continues to be in effect.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NINE </w:t>
      </w:r>
    </w:p>
    <w:p>
      <w:pPr>
        <w:pStyle w:val="TextBody"/>
        <w:bidi w:val="0"/>
        <w:spacing w:before="0" w:after="0"/>
        <w:jc w:val="center"/>
        <w:rPr>
          <w:rFonts w:ascii="Times New Roman" w:hAnsi="Times New Roman"/>
          <w:b/>
          <w:sz w:val="20"/>
        </w:rPr>
      </w:pPr>
      <w:r>
        <w:rPr>
          <w:rFonts w:ascii="Times New Roman" w:hAnsi="Times New Roman"/>
          <w:b/>
          <w:sz w:val="20"/>
        </w:rPr>
        <w:t xml:space="preserve">RESERVED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TEN </w:t>
      </w:r>
    </w:p>
    <w:p>
      <w:pPr>
        <w:pStyle w:val="TextBody"/>
        <w:bidi w:val="0"/>
        <w:spacing w:before="0" w:after="0"/>
        <w:jc w:val="center"/>
        <w:rPr>
          <w:rFonts w:ascii="Times New Roman" w:hAnsi="Times New Roman"/>
          <w:b/>
          <w:sz w:val="20"/>
        </w:rPr>
      </w:pPr>
      <w:r>
        <w:rPr>
          <w:rFonts w:ascii="Times New Roman" w:hAnsi="Times New Roman"/>
          <w:b/>
          <w:sz w:val="20"/>
        </w:rPr>
        <w:t xml:space="preserve">AMENDMENTS, SUPPLEMENTS AND WAIVERS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10.01 </w:t>
      </w:r>
      <w:r>
        <w:rPr>
          <w:rFonts w:ascii="Times New Roman" w:hAnsi="Times New Roman"/>
          <w:b/>
          <w:sz w:val="20"/>
          <w:u w:val="single"/>
        </w:rPr>
        <w:t>Without Consent of Holders.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the Trustee may amend or supplement this Indenture or the Securities of a Series without notice to or consent of any Securityholder of such Series: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omission, defect or inconsistency;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w:t>
            </w:r>
            <w:r>
              <w:rPr>
                <w:rFonts w:ascii="Times New Roman" w:hAnsi="Times New Roman"/>
                <w:sz w:val="20"/>
                <w:u w:val="single"/>
              </w:rPr>
              <w:t>Article Five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that specific provisions of this Indenture shall not apply to a Series not previously issued or to make a change to specific provisions of this Indenture that only applies to any Series not previously issued or to additional Securities of a Series not previously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create a Series and establish its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uncertificated Securities in addition to or in place of certificated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release a guarantor in respect of any Series which, in accordance with the terms of this Indenture applicable to the particular Series, ceases to be liable in respect of its guarantee;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a guarantor in respect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(8)</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secure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(9)</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the covenants of the Company for the benefit of the Holders or surrender any right or power conferred upon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(10)</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appoint a successor trustee with respect to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requirements of the SEC in order to effect or maintain the qualification of this Indenture under the TIA;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other change that does not adversely affect the rights of Securityholders;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conform the provisions of the Indenture to the final offering memorandum or prospectus in respect of any Series.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After an amendment under this </w:t>
      </w:r>
      <w:r>
        <w:rPr>
          <w:rFonts w:ascii="Times New Roman" w:hAnsi="Times New Roman"/>
          <w:sz w:val="20"/>
          <w:u w:val="single"/>
        </w:rPr>
        <w:t>Section 10.01</w:t>
      </w:r>
      <w:r>
        <w:rPr>
          <w:rFonts w:ascii="Times New Roman" w:hAnsi="Times New Roman"/>
          <w:sz w:val="20"/>
        </w:rPr>
        <w:t xml:space="preserve"> becomes effective, the Company shall mail notice of such amendment to the Securityholders.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10.02 </w:t>
      </w:r>
      <w:r>
        <w:rPr>
          <w:rFonts w:ascii="Times New Roman" w:hAnsi="Times New Roman"/>
          <w:b/>
          <w:sz w:val="20"/>
          <w:u w:val="single"/>
        </w:rPr>
        <w:t>With Consent of Holders.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the Trustee may amend or supplement any provision of the Securities of a Series or of this Indenture relating to such Series without notice to any Securityholder of such Series but with the written consent of the Holders of at least a majority in principal amount of the outstanding Securities of such Series (including consents obtained in connection with a purchase of, or tender offer or exchange offer for, Securities of such Series). Each such Series shall vote as a separate class. The Holders of a majority in principal amount of the outstanding Securities of any Series may waive compliance by the Company with any provision of the Securities of such Series or of this Indenture relating to such Series without notice to any Securityholder (including any waiver granted in connection with a purchase of, or tender offer or exchange offer for, Securities of such Series). Without the consent of each Holder of a Security the terms of which are directly amended, supplemented or waived, however, an amendment, supplement or waiver, including a waiver pursuant to </w:t>
      </w:r>
      <w:r>
        <w:rPr>
          <w:rFonts w:ascii="Times New Roman" w:hAnsi="Times New Roman"/>
          <w:sz w:val="20"/>
          <w:u w:val="single"/>
        </w:rPr>
        <w:t>Section 6.04</w:t>
      </w:r>
      <w:r>
        <w:rPr>
          <w:rFonts w:ascii="Times New Roman" w:hAnsi="Times New Roman"/>
          <w:sz w:val="20"/>
        </w:rPr>
        <w:t xml:space="preserve">, may not (with respect to any Securities of such Series held by a non-consenting Holder): </w:t>
      </w:r>
    </w:p>
    <w:p>
      <w:pPr>
        <w:pStyle w:val="TextBody"/>
        <w:bidi w:val="0"/>
        <w:spacing w:before="120" w:after="0"/>
        <w:jc w:val="left"/>
        <w:rPr>
          <w:rFonts w:ascii="Times New Roman" w:hAnsi="Times New Roman"/>
          <w:sz w:val="20"/>
        </w:rPr>
      </w:pPr>
      <w:r>
        <w:rPr>
          <w:rFonts w:ascii="Times New Roman" w:hAnsi="Times New Roman"/>
          <w:sz w:val="20"/>
        </w:rPr>
        <w:t xml:space="preserve">(1) reduce the amount of Securities of the relevant Series whose Holders must consent to an amendment, supplement or waiver;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reduce the rate of or extend the time for payment of interest, including defaulted interest, on any Security; </w:t>
      </w:r>
    </w:p>
    <w:p>
      <w:pPr>
        <w:pStyle w:val="TextBody"/>
        <w:bidi w:val="0"/>
        <w:spacing w:before="120" w:after="0"/>
        <w:jc w:val="left"/>
        <w:rPr>
          <w:rFonts w:ascii="Times New Roman" w:hAnsi="Times New Roman"/>
          <w:sz w:val="20"/>
        </w:rPr>
      </w:pPr>
      <w:r>
        <w:rPr>
          <w:rFonts w:ascii="Times New Roman" w:hAnsi="Times New Roman"/>
          <w:sz w:val="20"/>
        </w:rPr>
        <w:t xml:space="preserve">(3) reduce the principal of or extend the fixed maturity of any Security or alter the provisions (including related definitions) with respect to redemption of any Security pursuant to </w:t>
      </w:r>
      <w:r>
        <w:rPr>
          <w:rFonts w:ascii="Times New Roman" w:hAnsi="Times New Roman"/>
          <w:sz w:val="20"/>
          <w:u w:val="single"/>
        </w:rPr>
        <w:t>Article Three</w:t>
      </w:r>
      <w:r>
        <w:rPr>
          <w:rFonts w:ascii="Times New Roman" w:hAnsi="Times New Roman"/>
          <w:sz w:val="20"/>
        </w:rPr>
        <w:t xml:space="preserve"> hereof or with respect to any obligations on the part of the Company to offer to purchase or to redeem Securities of a Series pursuant to the Authorizing Resolution or supplemental indenture pertaining to such Series in a manner adverse to Holders; </w:t>
      </w:r>
    </w:p>
    <w:p>
      <w:pPr>
        <w:pStyle w:val="TextBody"/>
        <w:bidi w:val="0"/>
        <w:spacing w:before="120" w:after="0"/>
        <w:jc w:val="left"/>
        <w:rPr>
          <w:rFonts w:ascii="Times New Roman" w:hAnsi="Times New Roman"/>
          <w:sz w:val="20"/>
        </w:rPr>
      </w:pPr>
      <w:r>
        <w:rPr>
          <w:rFonts w:ascii="Times New Roman" w:hAnsi="Times New Roman"/>
          <w:sz w:val="20"/>
        </w:rPr>
        <w:t xml:space="preserve">(4) make any change that adversely affects any right of a Holder to convert or exchange any Security into or for shares of the Company’s Capital Stock or other securities, cash or other property in accordance with the terms of such Security; </w:t>
      </w:r>
    </w:p>
    <w:p>
      <w:pPr>
        <w:pStyle w:val="TextBody"/>
        <w:bidi w:val="0"/>
        <w:spacing w:before="120" w:after="0"/>
        <w:jc w:val="left"/>
        <w:rPr>
          <w:rFonts w:ascii="Times New Roman" w:hAnsi="Times New Roman"/>
          <w:sz w:val="20"/>
        </w:rPr>
      </w:pPr>
      <w:r>
        <w:rPr>
          <w:rFonts w:ascii="Times New Roman" w:hAnsi="Times New Roman"/>
          <w:sz w:val="20"/>
        </w:rPr>
        <w:t xml:space="preserve">(5) modify the ranking or priority of the Securities of the relevant Series or any guarantee thereof; </w:t>
      </w:r>
    </w:p>
    <w:p>
      <w:pPr>
        <w:pStyle w:val="TextBody"/>
        <w:bidi w:val="0"/>
        <w:spacing w:before="120" w:after="0"/>
        <w:jc w:val="left"/>
        <w:rPr>
          <w:rFonts w:ascii="Times New Roman" w:hAnsi="Times New Roman"/>
          <w:sz w:val="20"/>
        </w:rPr>
      </w:pPr>
      <w:r>
        <w:rPr>
          <w:rFonts w:ascii="Times New Roman" w:hAnsi="Times New Roman"/>
          <w:sz w:val="20"/>
        </w:rPr>
        <w:t xml:space="preserve">(6) release any guarantor of any Series from any of its obligations under its guarantee or this Indenture otherwise than in accordance with the terms of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(7) make any change in </w:t>
      </w:r>
      <w:r>
        <w:rPr>
          <w:rFonts w:ascii="Times New Roman" w:hAnsi="Times New Roman"/>
          <w:sz w:val="20"/>
          <w:u w:val="single"/>
        </w:rPr>
        <w:t>Sections 6.04</w:t>
      </w:r>
      <w:r>
        <w:rPr>
          <w:rFonts w:ascii="Times New Roman" w:hAnsi="Times New Roman"/>
          <w:sz w:val="20"/>
        </w:rPr>
        <w:t xml:space="preserve">, </w:t>
      </w:r>
      <w:r>
        <w:rPr>
          <w:rFonts w:ascii="Times New Roman" w:hAnsi="Times New Roman"/>
          <w:sz w:val="20"/>
          <w:u w:val="single"/>
        </w:rPr>
        <w:t>6.07</w:t>
      </w:r>
      <w:r>
        <w:rPr>
          <w:rFonts w:ascii="Times New Roman" w:hAnsi="Times New Roman"/>
          <w:sz w:val="20"/>
        </w:rPr>
        <w:t xml:space="preserve"> or this </w:t>
      </w:r>
      <w:r>
        <w:rPr>
          <w:rFonts w:ascii="Times New Roman" w:hAnsi="Times New Roman"/>
          <w:sz w:val="20"/>
          <w:u w:val="single"/>
        </w:rPr>
        <w:t>Section 10.02</w:t>
      </w:r>
      <w:r>
        <w:rPr>
          <w:rFonts w:ascii="Times New Roman" w:hAnsi="Times New Roman"/>
          <w:sz w:val="20"/>
        </w:rPr>
        <w:t xml:space="preserve">, except to increase the percentage required for modification or waiver or to provide for consent of each affected Holder of Securities of such Series; </w:t>
      </w:r>
    </w:p>
    <w:p>
      <w:pPr>
        <w:pStyle w:val="TextBody"/>
        <w:bidi w:val="0"/>
        <w:spacing w:before="120" w:after="0"/>
        <w:jc w:val="left"/>
        <w:rPr>
          <w:rFonts w:ascii="Times New Roman" w:hAnsi="Times New Roman"/>
          <w:sz w:val="20"/>
        </w:rPr>
      </w:pPr>
      <w:r>
        <w:rPr>
          <w:rFonts w:ascii="Times New Roman" w:hAnsi="Times New Roman"/>
          <w:sz w:val="20"/>
        </w:rPr>
        <w:t xml:space="preserve">(8) waive a continuing Default or Event of Default in the payment of the principal of or interest on any Security; or </w:t>
      </w:r>
    </w:p>
    <w:p>
      <w:pPr>
        <w:pStyle w:val="TextBody"/>
        <w:bidi w:val="0"/>
        <w:spacing w:before="120" w:after="0"/>
        <w:jc w:val="left"/>
        <w:rPr>
          <w:rFonts w:ascii="Times New Roman" w:hAnsi="Times New Roman"/>
          <w:sz w:val="20"/>
        </w:rPr>
      </w:pPr>
      <w:r>
        <w:rPr>
          <w:rFonts w:ascii="Times New Roman" w:hAnsi="Times New Roman"/>
          <w:sz w:val="20"/>
        </w:rPr>
        <w:t xml:space="preserve">(9) make any Security payable at a place or in money other than that stated in the Security, or impair the right of any Securityholder to bring suit as permitted by </w:t>
      </w:r>
      <w:r>
        <w:rPr>
          <w:rFonts w:ascii="Times New Roman" w:hAnsi="Times New Roman"/>
          <w:sz w:val="20"/>
          <w:u w:val="single"/>
        </w:rPr>
        <w:t>Section 6.07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 amendment of a provision included solely for the benefit of one or more Series does not affect the interests of Securityholders of any other Series. </w:t>
      </w:r>
    </w:p>
    <w:p>
      <w:pPr>
        <w:pStyle w:val="TextBody"/>
        <w:bidi w:val="0"/>
        <w:spacing w:before="240" w:after="0"/>
        <w:jc w:val="left"/>
        <w:rPr>
          <w:rFonts w:ascii="Times New Roman" w:hAnsi="Times New Roman"/>
          <w:sz w:val="20"/>
        </w:rPr>
      </w:pPr>
      <w:r>
        <w:rPr>
          <w:rFonts w:ascii="Times New Roman" w:hAnsi="Times New Roman"/>
          <w:sz w:val="20"/>
        </w:rPr>
        <w:t xml:space="preserve">It shall not be necessary for the consent of the Holders under this Section to approve the particular form of any proposed supplement, but it shall be sufficient if such consent approves the substance thereof.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10.03 </w:t>
      </w:r>
      <w:r>
        <w:rPr>
          <w:rFonts w:ascii="Times New Roman" w:hAnsi="Times New Roman"/>
          <w:b/>
          <w:sz w:val="20"/>
          <w:u w:val="single"/>
        </w:rPr>
        <w:t>Compliance with Trust Indenture Act.</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Every amendment to or supplement of this Indenture or any Securities shall comply with the TIA as then in effect.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10.04 </w:t>
      </w:r>
      <w:r>
        <w:rPr>
          <w:rFonts w:ascii="Times New Roman" w:hAnsi="Times New Roman"/>
          <w:b/>
          <w:sz w:val="20"/>
          <w:u w:val="single"/>
        </w:rPr>
        <w:t>Revocation and Effect of Consents.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consent to an amendment, supplement or waiver by a Holder shall bind the Holder and every subsequent Holder of a Security or portion of a Security that evidences the same debt as the consenting Holder’s Security, even if notation of the consent is not made on any Security. Unless otherwise provided in the consent or the consent solicitation statement or other document describing the terms of the consent, any Holder or subsequent Holder may revoke the consent as to its Security or portion of a Security. Any revocation of a consent by the Holder of a Security or any such subsequent Holder shall be effective only if the Trustee receives the notice of revocation before the date on which the Trustee receives an Officers’ Certificate from the Company certifying that the requisite number of consents have been received.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but shall not be obligated to, fix a record date for the purpose of determining the Holders of Securities of any Series entitled to consent to any amendment, supplement or waiver, which record date shall be at least 10 days prior to the first solicitation of such consent. If a record date is fixed, and if Holders otherwise have a right to revoke their consent under the consent or the consent solicitation statement or other document describing the terms of the consent, then notwithstanding the second to last sentence of the immediately preceding paragraph, those Persons who were Holders at such record date (or their duly designated proxies), and only those Persons, shall be entitled to revoke any consent previously given, whether or not such Persons continue to be Holders after such record date. No such consent shall be valid or effective for more than 90 days after such record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 amendment, supplement or waiver with respect to a Series becomes effective upon the (i) receipt by the Company or the Trustee of the requisite consents, (ii) satisfaction of any conditions to effectiveness as set forth in this Indenture or any indenture supplemental hereto containing such amendment, supplement or waiver and (iii) execution of such amendment, supplement or waiver (or the related supplemental indenture) by the Company and the Trustee. After an amendment, supplement or waiver with respect to a Series becomes effective, it shall bind every Holder of such Series, unless it makes a change described in any of </w:t>
      </w:r>
      <w:r>
        <w:rPr>
          <w:rFonts w:ascii="Times New Roman" w:hAnsi="Times New Roman"/>
          <w:sz w:val="20"/>
          <w:u w:val="single"/>
        </w:rPr>
        <w:t>clauses (1)</w:t>
      </w:r>
      <w:r>
        <w:rPr>
          <w:rFonts w:ascii="Times New Roman" w:hAnsi="Times New Roman"/>
          <w:sz w:val="20"/>
        </w:rPr>
        <w:t xml:space="preserve"> through </w:t>
      </w:r>
      <w:r>
        <w:rPr>
          <w:rFonts w:ascii="Times New Roman" w:hAnsi="Times New Roman"/>
          <w:sz w:val="20"/>
          <w:u w:val="single"/>
        </w:rPr>
        <w:t>(9)</w:t>
      </w:r>
      <w:r>
        <w:rPr>
          <w:rFonts w:ascii="Times New Roman" w:hAnsi="Times New Roman"/>
          <w:sz w:val="20"/>
        </w:rPr>
        <w:t xml:space="preserve"> of </w:t>
      </w:r>
      <w:r>
        <w:rPr>
          <w:rFonts w:ascii="Times New Roman" w:hAnsi="Times New Roman"/>
          <w:sz w:val="20"/>
          <w:u w:val="single"/>
        </w:rPr>
        <w:t>Section 10.02</w:t>
      </w:r>
      <w:r>
        <w:rPr>
          <w:rFonts w:ascii="Times New Roman" w:hAnsi="Times New Roman"/>
          <w:sz w:val="20"/>
        </w:rPr>
        <w:t xml:space="preserve">, in which case, the amendment, supplement or waiver shall bind a Holder of a Security of such Series only if it has consented to such amendment, supplement or waiver and every subsequent Holder of a Security or portion of a Security that evidences the same debt as the consenting Holder’s Security; </w:t>
      </w:r>
      <w:r>
        <w:rPr>
          <w:rFonts w:ascii="Times New Roman" w:hAnsi="Times New Roman"/>
          <w:i/>
          <w:sz w:val="20"/>
        </w:rPr>
        <w:t>provided</w:t>
      </w:r>
      <w:r>
        <w:rPr>
          <w:rFonts w:ascii="Times New Roman" w:hAnsi="Times New Roman"/>
          <w:sz w:val="20"/>
        </w:rPr>
        <w:t xml:space="preserve"> that no such waiver shall impair or affect the right of any Holder to receive payment of principal of and interest on a Security, on or after the respective due dates expressed in such Security, or to bring suit for the enforcement of any such payment on or after such respective dates without the consent of such Holder.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10.05 </w:t>
      </w:r>
      <w:r>
        <w:rPr>
          <w:rFonts w:ascii="Times New Roman" w:hAnsi="Times New Roman"/>
          <w:b/>
          <w:sz w:val="20"/>
          <w:u w:val="single"/>
        </w:rPr>
        <w:t>Notation on or Exchange of Securities.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an amendment, supplement or waiver changes the terms of a Security, the Company may require the Holder of the Security to deliver it to the Trustee, at which time the Trustee shall place an appropriate notation on the Security about the changed terms and return it to the Holder. Alternatively, if the Company or the Trustee so determines, the Company in exchange for the Security shall issue and the Trustee shall authenticate a new Security that reflects the changed terms.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10.06 </w:t>
      </w:r>
      <w:r>
        <w:rPr>
          <w:rFonts w:ascii="Times New Roman" w:hAnsi="Times New Roman"/>
          <w:b/>
          <w:sz w:val="20"/>
          <w:u w:val="single"/>
        </w:rPr>
        <w:t>Trustee to Sign Amendments, etc.</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Subject to </w:t>
      </w:r>
      <w:r>
        <w:rPr>
          <w:rFonts w:ascii="Times New Roman" w:hAnsi="Times New Roman"/>
          <w:sz w:val="20"/>
          <w:u w:val="single"/>
        </w:rPr>
        <w:t>Section 7.02(b)</w:t>
      </w:r>
      <w:r>
        <w:rPr>
          <w:rFonts w:ascii="Times New Roman" w:hAnsi="Times New Roman"/>
          <w:sz w:val="20"/>
        </w:rPr>
        <w:t xml:space="preserve">, the Trustee shall sign any amendment, supplement or waiver authorized pursuant to this Article if the amendment, supplement or waiver does not adversely affect the rights, duties, liabilities or immunities of the Trustee. If it does, the Trustee may but need not sign it. In signing or refusing to sign such amendment or supplemental indenture, the Trustee shall be provided with and shall be fully protected in relying upon, an Officers’ Certificate and an Opinion of Counsel as conclusive evidence that such amendment, supplement or waiver is authorized or permitted by this Indenture, and (solely with respect to such Opinion of Counsel) that it will be valid and binding upon the Company and enforceable in accordance with its terms.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ELEVEN </w:t>
      </w:r>
    </w:p>
    <w:p>
      <w:pPr>
        <w:pStyle w:val="TextBody"/>
        <w:bidi w:val="0"/>
        <w:spacing w:before="0" w:after="0"/>
        <w:jc w:val="center"/>
        <w:rPr>
          <w:rFonts w:ascii="Times New Roman" w:hAnsi="Times New Roman"/>
          <w:b/>
          <w:sz w:val="20"/>
        </w:rPr>
      </w:pPr>
      <w:r>
        <w:rPr>
          <w:rFonts w:ascii="Times New Roman" w:hAnsi="Times New Roman"/>
          <w:b/>
          <w:sz w:val="20"/>
        </w:rPr>
        <w:t xml:space="preserve">SECURITIES IN FOREIGN CURRENCIES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11.01 </w:t>
      </w:r>
      <w:r>
        <w:rPr>
          <w:rFonts w:ascii="Times New Roman" w:hAnsi="Times New Roman"/>
          <w:b/>
          <w:sz w:val="20"/>
          <w:u w:val="single"/>
        </w:rPr>
        <w:t>Applicability of Article.</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Whenever this Indenture provides for (i) any action by, or the determination of any of the rights of, Holders of Securities of any Series in which not all of such Securities are denominated in the same currency, or (ii) any distribution to Holders of Securities, in the absence of any provision to the contrary pursuant to this Indenture or the Securities of any particular Series, any amount in respect of any Security denominated in a Foreign Currency shall be treated for any such action or distribution as that amount of Dollars that could be obtained for such amount on such reasonable basis of exchange and as of the record date with respect to Securities of such Series (if any) for such action, determination of rights or distribution (or, if there shall be no applicable record date, such other date reasonably proximate to the date of such action, determination of rights or distribution) as the Company may specify in a written notice to the Trustee or, in the absence of such written notice, as the Trustee may determine.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TWELVE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12.01 </w:t>
      </w:r>
      <w:r>
        <w:rPr>
          <w:rFonts w:ascii="Times New Roman" w:hAnsi="Times New Roman"/>
          <w:b/>
          <w:sz w:val="20"/>
          <w:u w:val="single"/>
        </w:rPr>
        <w:t>Trust Indenture Act Controls.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any provision of this Indenture limits, qualifies or conflicts with another provision which is required to be included in this Indenture by the TIA, the required provision shall control.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12.02 </w:t>
      </w:r>
      <w:r>
        <w:rPr>
          <w:rFonts w:ascii="Times New Roman" w:hAnsi="Times New Roman"/>
          <w:b/>
          <w:sz w:val="20"/>
          <w:u w:val="single"/>
        </w:rPr>
        <w:t>Notices.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Any order, consent, notice or communication shall be sufficiently given if in writing and delivered in person or mailed by first class mail, postage prepaid, addressed as follows: </w:t>
      </w:r>
    </w:p>
    <w:p>
      <w:pPr>
        <w:pStyle w:val="TextBody"/>
        <w:bidi w:val="0"/>
        <w:spacing w:before="120" w:after="0"/>
        <w:jc w:val="left"/>
        <w:rPr>
          <w:rFonts w:ascii="Times New Roman" w:hAnsi="Times New Roman"/>
          <w:sz w:val="20"/>
        </w:rPr>
      </w:pPr>
      <w:r>
        <w:rPr>
          <w:rFonts w:ascii="Times New Roman" w:hAnsi="Times New Roman"/>
          <w:sz w:val="20"/>
        </w:rPr>
        <w:t xml:space="preserve">if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[ ] </w:t>
      </w:r>
    </w:p>
    <w:p>
      <w:pPr>
        <w:pStyle w:val="TextBody"/>
        <w:bidi w:val="0"/>
        <w:spacing w:before="120" w:after="0"/>
        <w:jc w:val="left"/>
        <w:rPr>
          <w:rFonts w:ascii="Times New Roman" w:hAnsi="Times New Roman"/>
          <w:sz w:val="20"/>
        </w:rPr>
      </w:pPr>
      <w:r>
        <w:rPr>
          <w:rFonts w:ascii="Times New Roman" w:hAnsi="Times New Roman"/>
          <w:sz w:val="20"/>
        </w:rPr>
        <w:t xml:space="preserve">if to the Trustee: </w:t>
      </w:r>
    </w:p>
    <w:p>
      <w:pPr>
        <w:pStyle w:val="TextBody"/>
        <w:bidi w:val="0"/>
        <w:spacing w:before="120" w:after="0"/>
        <w:jc w:val="left"/>
        <w:rPr>
          <w:rFonts w:ascii="Times New Roman" w:hAnsi="Times New Roman"/>
          <w:sz w:val="20"/>
        </w:rPr>
      </w:pPr>
      <w:r>
        <w:rPr>
          <w:rFonts w:ascii="Times New Roman" w:hAnsi="Times New Roman"/>
          <w:sz w:val="20"/>
        </w:rPr>
        <w:t xml:space="preserve">[ ] </w:t>
      </w:r>
    </w:p>
    <w:p>
      <w:pPr>
        <w:pStyle w:val="TextBody"/>
        <w:bidi w:val="0"/>
        <w:spacing w:before="240" w:after="0"/>
        <w:jc w:val="left"/>
        <w:rPr>
          <w:rFonts w:ascii="Times New Roman" w:hAnsi="Times New Roman"/>
          <w:sz w:val="20"/>
        </w:rPr>
      </w:pPr>
      <w:r>
        <w:rPr>
          <w:rFonts w:ascii="Times New Roman" w:hAnsi="Times New Roman"/>
          <w:sz w:val="20"/>
        </w:rPr>
        <w:t xml:space="preserve">The Company or the Trustee by notice to the other may designate additional or different addresses for subsequent notices or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Any notice or communication mailed to a Securityholder shall be mailed to him by first class mail at his address as it appears on the registration books of the Registrar and shall be sufficiently given to him if so mailed within the time prescribed. </w:t>
      </w:r>
    </w:p>
    <w:p>
      <w:pPr>
        <w:pStyle w:val="TextBody"/>
        <w:bidi w:val="0"/>
        <w:spacing w:before="240" w:after="0"/>
        <w:jc w:val="left"/>
        <w:rPr>
          <w:rFonts w:ascii="Times New Roman" w:hAnsi="Times New Roman"/>
          <w:sz w:val="20"/>
        </w:rPr>
      </w:pPr>
      <w:r>
        <w:rPr>
          <w:rFonts w:ascii="Times New Roman" w:hAnsi="Times New Roman"/>
          <w:sz w:val="20"/>
        </w:rPr>
        <w:t xml:space="preserve">Failure to mail a notice or communication to a Securityholder or any defect in it shall not affect its sufficiency with respect to other Securityholders. If a notice or communication is mailed in the manner provided above, it is duly given, whether or not the addressee receives it except that notice to the Trustee shall only be effective upon receipt thereof by the Trustee.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mails notice or communications to the Securityholders, it shall mail a copy to the Trustee at the same time.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foregoing, the Trustee agrees to accept and act upon notice, instructions or directions pursuant to this Indenture sent by unsecured e-mail, facsimile transmission or other similar unsecured electronic methods.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w:t>
      </w:r>
    </w:p>
    <w:p>
      <w:pPr>
        <w:pStyle w:val="TextBody"/>
        <w:bidi w:val="0"/>
        <w:spacing w:before="0" w:after="0"/>
        <w:jc w:val="left"/>
        <w:rPr>
          <w:rFonts w:ascii="Times New Roman" w:hAnsi="Times New Roman"/>
          <w:sz w:val="20"/>
        </w:rPr>
      </w:pPr>
      <w:r>
        <w:rPr>
          <w:rFonts w:ascii="Times New Roman" w:hAnsi="Times New Roman"/>
          <w:sz w:val="20"/>
        </w:rPr>
        <w:t xml:space="preserve">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of interception and misuse by third parties.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12.03 </w:t>
      </w:r>
      <w:r>
        <w:rPr>
          <w:rFonts w:ascii="Times New Roman" w:hAnsi="Times New Roman"/>
          <w:b/>
          <w:sz w:val="20"/>
          <w:u w:val="single"/>
        </w:rPr>
        <w:t>Communications by Holders with Other Holders.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Securityholders may communicate pursuant to TIA § 312(b) with other Securityholders with respect to their rights under this Indenture or the Securities. The Company, the Trustee, the Registrar and anyone else shall have the protection of TIA § 312(c).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12.04 </w:t>
      </w:r>
      <w:r>
        <w:rPr>
          <w:rFonts w:ascii="Times New Roman" w:hAnsi="Times New Roman"/>
          <w:b/>
          <w:sz w:val="20"/>
          <w:u w:val="single"/>
        </w:rPr>
        <w:t>Certificate and Opinion as to Conditions Precedent.</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Upon any request or application by the Company to the Trustee to take any action under this Indenture, the Company shall furnish to the Trustee: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Officers’ Certificate (which shall include the statements set forth in </w:t>
            </w:r>
            <w:r>
              <w:rPr>
                <w:rFonts w:ascii="Times New Roman" w:hAnsi="Times New Roman"/>
                <w:sz w:val="20"/>
                <w:u w:val="single"/>
              </w:rPr>
              <w:t>Section 12.05</w:t>
            </w:r>
            <w:r>
              <w:rPr>
                <w:rFonts w:ascii="Times New Roman" w:hAnsi="Times New Roman"/>
                <w:sz w:val="20"/>
              </w:rPr>
              <w:t xml:space="preserve">) stating that, in the opinion of the signers, all conditions precedent, if any, provided for in this Indenture relating to the proposed action have been complied with;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Opinion of Counsel (which shall include the statements set forth in </w:t>
            </w:r>
            <w:r>
              <w:rPr>
                <w:rFonts w:ascii="Times New Roman" w:hAnsi="Times New Roman"/>
                <w:sz w:val="20"/>
                <w:u w:val="single"/>
              </w:rPr>
              <w:t>Section 12.05</w:t>
            </w:r>
            <w:r>
              <w:rPr>
                <w:rFonts w:ascii="Times New Roman" w:hAnsi="Times New Roman"/>
                <w:sz w:val="20"/>
              </w:rPr>
              <w:t xml:space="preserve">) stating that, in the opinion of such counsel, all such conditions precedent, if any, provided for in this Indenture relating to the proposed action or inaction, have been complied with.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Officers’ Certificate may be based, and may state that it is so based, insofar as it relates to legal matters, upon a certificate or opinion of, or representations by, internal or external legal counsel. Any Opinion of Counsel may be based, and may state that it is so based, insofar as it relates to factual matters, upon a certificate or opinion of, or representations by, an Officer or Officers of the Company or any guarantor stating that the information with respect to such factual matters is known to the Company or such guarantor, unless such counsel knows that the certificate or opinion or representations with respect to such matters are erroneous.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12.05 </w:t>
      </w:r>
      <w:r>
        <w:rPr>
          <w:rFonts w:ascii="Times New Roman" w:hAnsi="Times New Roman"/>
          <w:b/>
          <w:sz w:val="20"/>
          <w:u w:val="single"/>
        </w:rPr>
        <w:t>Statements Required in Certificate or Opinion.</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certificate or opinion with respect to compliance with a condition or covenant provided for in this Indenture shall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statement that the person making such certificate or opinion has read such covenant or condition;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brief statement as to the nature and scope of the examination or investigation upon which the statements or opinions contained in such certificate or opinion are based;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statement that, in the opinion of such person, he has made such examination or investigation as is necessary to enable him to express an informed opinion as to whether or not such covenant or condition has been complied with;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statement as to whether or not, in the opinion of such person, such condition or covenant has been complied with.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Section 12.06 </w:t>
      </w:r>
      <w:r>
        <w:rPr>
          <w:rFonts w:ascii="Times New Roman" w:hAnsi="Times New Roman"/>
          <w:b/>
          <w:sz w:val="20"/>
          <w:u w:val="single"/>
        </w:rPr>
        <w:t>Rules by Trustee and Agents.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Trustee may make reasonable rules for action by or a meeting of Securityholders. The Registrar or Paying Agent may make reasonable rules for its functions.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12.07 </w:t>
      </w:r>
      <w:r>
        <w:rPr>
          <w:rFonts w:ascii="Times New Roman" w:hAnsi="Times New Roman"/>
          <w:b/>
          <w:sz w:val="20"/>
          <w:u w:val="single"/>
        </w:rPr>
        <w:t>Legal Holidays.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sz w:val="20"/>
        </w:rPr>
        <w:t>Legal Holiday</w:t>
      </w:r>
      <w:r>
        <w:rPr>
          <w:rFonts w:ascii="Times New Roman" w:hAnsi="Times New Roman"/>
          <w:sz w:val="20"/>
        </w:rPr>
        <w:t>” is a Saturday, a Sunday, a legal holiday or a day on which banking institutions in New York, New York are not required to be open. If a payment date is a Legal Holiday, payment may be made on the next succeeding day that is not a Legal Holiday, and no interest shall accrue for the intervening period. If this Indenture provides for a time period that ends or requires performance of any non-payment obligation by a day that is not a Business Day, then such time period shall instead be deemed to end on, and such obligation shall instead be performed by, the next succeeding Business Day. A “</w:t>
      </w:r>
      <w:r>
        <w:rPr>
          <w:rFonts w:ascii="Times New Roman" w:hAnsi="Times New Roman"/>
          <w:b/>
          <w:sz w:val="20"/>
        </w:rPr>
        <w:t>Business Day</w:t>
      </w:r>
      <w:r>
        <w:rPr>
          <w:rFonts w:ascii="Times New Roman" w:hAnsi="Times New Roman"/>
          <w:sz w:val="20"/>
        </w:rPr>
        <w:t xml:space="preserve">” is any day other than a Legal Holiday.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12.08 </w:t>
      </w:r>
      <w:r>
        <w:rPr>
          <w:rFonts w:ascii="Times New Roman" w:hAnsi="Times New Roman"/>
          <w:b/>
          <w:sz w:val="20"/>
          <w:u w:val="single"/>
        </w:rPr>
        <w:t>Governing Law.</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laws of the State of New York shall govern this Indenture and the Securities of each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12.09 </w:t>
      </w:r>
      <w:r>
        <w:rPr>
          <w:rFonts w:ascii="Times New Roman" w:hAnsi="Times New Roman"/>
          <w:b/>
          <w:sz w:val="20"/>
          <w:u w:val="single"/>
        </w:rPr>
        <w:t>No Adverse Interpretation of Other Agreements.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This Indenture may not be used to interpret another indenture, loan or debt agreement of the Company or a Subsidiary. Any such indenture, loan or debt agreement may not be used to interpret this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12.10 </w:t>
      </w:r>
      <w:r>
        <w:rPr>
          <w:rFonts w:ascii="Times New Roman" w:hAnsi="Times New Roman"/>
          <w:b/>
          <w:sz w:val="20"/>
          <w:u w:val="single"/>
        </w:rPr>
        <w:t>No Recourse Against Others.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All liability described in </w:t>
      </w:r>
      <w:r>
        <w:rPr>
          <w:rFonts w:ascii="Times New Roman" w:hAnsi="Times New Roman"/>
          <w:sz w:val="20"/>
          <w:u w:val="single"/>
        </w:rPr>
        <w:t>Paragraph 12</w:t>
      </w:r>
      <w:r>
        <w:rPr>
          <w:rFonts w:ascii="Times New Roman" w:hAnsi="Times New Roman"/>
          <w:sz w:val="20"/>
        </w:rPr>
        <w:t xml:space="preserve"> of the Securities of any director, officer, employee or shareholder, as such, of the Company is, to the fullest extent permitted by applicable law, waived and released.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12.11 </w:t>
      </w:r>
      <w:r>
        <w:rPr>
          <w:rFonts w:ascii="Times New Roman" w:hAnsi="Times New Roman"/>
          <w:b/>
          <w:sz w:val="20"/>
          <w:u w:val="single"/>
        </w:rPr>
        <w:t>Successors and Assigns.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All covenants and agreements of the Company in this Indenture and the Securities shall bind its successors and assigns. All agreements of the Trustee in this Indenture shall bind its successors and assigns.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12.12 </w:t>
      </w:r>
      <w:r>
        <w:rPr>
          <w:rFonts w:ascii="Times New Roman" w:hAnsi="Times New Roman"/>
          <w:b/>
          <w:sz w:val="20"/>
          <w:u w:val="single"/>
        </w:rPr>
        <w:t>Duplicate Originals.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parties may sign any number of copies of this Indenture. Each signed copy shall be an original, but all of them together represent the same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12.13 </w:t>
      </w:r>
      <w:r>
        <w:rPr>
          <w:rFonts w:ascii="Times New Roman" w:hAnsi="Times New Roman"/>
          <w:b/>
          <w:sz w:val="20"/>
          <w:u w:val="single"/>
        </w:rPr>
        <w:t>Severability.</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case any one or more of the provisions contained in this Indenture or in the Securities of a Series shall for any reason be held to be invalid, illegal or unenforceable in any respect, such invalidity, illegality or unenforceability shall not affect any other provisions of this Indenture or of such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12.14 </w:t>
      </w:r>
      <w:r>
        <w:rPr>
          <w:rFonts w:ascii="Times New Roman" w:hAnsi="Times New Roman"/>
          <w:b/>
          <w:sz w:val="20"/>
          <w:u w:val="single"/>
        </w:rPr>
        <w:t>Waiver of Jury Trial.</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OF THE COMPANY AND THE TRUSTEE HEREBY IRREVOCABLY WAIVES, TO THE FULLEST EXTENT PERMITTED BY APPLICABLE LAW, ANY AND ALL RIGHT TO TRIAL BY JURY IN ANY LEGAL PROCEEDING ARISING OUT OF OR RELATING TO THIS INDENTURE, THE SECURITIES OR THE TRANSACTION CONTEMPLATED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the parties have caused this Indenture to be duly executed, all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739"/>
        <w:gridCol w:w="171"/>
        <w:gridCol w:w="2172"/>
      </w:tblGrid>
      <w:tr>
        <w:trPr/>
        <w:tc>
          <w:tcPr>
            <w:tcW w:w="1739"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217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DAMORA THERAPEUTICS, INC.</w:t>
            </w:r>
          </w:p>
        </w:tc>
      </w:tr>
      <w:tr>
        <w:trPr>
          <w:trHeight w:val="240" w:hRule="atLeast"/>
        </w:trPr>
        <w:tc>
          <w:tcPr>
            <w:tcW w:w="1739" w:type="dxa"/>
            <w:tcBorders/>
            <w:vAlign w:val="center"/>
          </w:tcPr>
          <w:p>
            <w:pPr>
              <w:pStyle w:val="TableContents"/>
              <w:bidi w:val="0"/>
              <w:spacing w:before="0" w:after="283"/>
              <w:jc w:val="left"/>
              <w:rPr>
                <w:sz w:val="4"/>
                <w:szCs w:val="4"/>
              </w:rPr>
            </w:pPr>
            <w:r>
              <w:rPr>
                <w:sz w:val="4"/>
                <w:szCs w:val="4"/>
              </w:rPr>
            </w:r>
          </w:p>
        </w:tc>
        <w:tc>
          <w:tcPr>
            <w:tcW w:w="2343" w:type="dxa"/>
            <w:gridSpan w:val="2"/>
            <w:tcBorders/>
            <w:vAlign w:val="center"/>
          </w:tcPr>
          <w:p>
            <w:pPr>
              <w:pStyle w:val="TableContents"/>
              <w:bidi w:val="0"/>
              <w:spacing w:before="0" w:after="283"/>
              <w:jc w:val="left"/>
              <w:rPr>
                <w:sz w:val="4"/>
                <w:szCs w:val="4"/>
              </w:rPr>
            </w:pPr>
            <w:r>
              <w:rPr>
                <w:sz w:val="4"/>
                <w:szCs w:val="4"/>
              </w:rPr>
            </w:r>
          </w:p>
        </w:tc>
      </w:tr>
      <w:tr>
        <w:trPr/>
        <w:tc>
          <w:tcPr>
            <w:tcW w:w="1739" w:type="dxa"/>
            <w:tcBorders/>
          </w:tcPr>
          <w:p>
            <w:pPr>
              <w:pStyle w:val="TableContents"/>
              <w:bidi w:val="0"/>
              <w:spacing w:before="0" w:after="283"/>
              <w:jc w:val="left"/>
              <w:rPr/>
            </w:pPr>
            <w:r>
              <w:rPr/>
              <w:t>By:</w:t>
            </w:r>
          </w:p>
        </w:tc>
        <w:tc>
          <w:tcPr>
            <w:tcW w:w="171" w:type="dxa"/>
            <w:tcBorders/>
            <w:vAlign w:val="bottom"/>
          </w:tcPr>
          <w:p>
            <w:pPr>
              <w:pStyle w:val="TableContents"/>
              <w:bidi w:val="0"/>
              <w:spacing w:before="0" w:after="283"/>
              <w:jc w:val="left"/>
              <w:rPr/>
            </w:pPr>
            <w:r>
              <w:rPr/>
              <w:t> </w:t>
            </w:r>
          </w:p>
        </w:tc>
        <w:tc>
          <w:tcPr>
            <w:tcW w:w="2172" w:type="dxa"/>
            <w:tcBorders/>
          </w:tcPr>
          <w:p>
            <w:pPr>
              <w:pStyle w:val="TableContents"/>
              <w:pBdr>
                <w:bottom w:val="single" w:sz="2" w:space="1" w:color="000000"/>
              </w:pBdr>
              <w:bidi w:val="0"/>
              <w:spacing w:before="0" w:after="20"/>
              <w:jc w:val="left"/>
              <w:rPr/>
            </w:pPr>
            <w:r>
              <w:rPr/>
              <w:t> </w:t>
            </w:r>
          </w:p>
        </w:tc>
      </w:tr>
      <w:tr>
        <w:trPr/>
        <w:tc>
          <w:tcPr>
            <w:tcW w:w="1739" w:type="dxa"/>
            <w:tcBorders/>
          </w:tcPr>
          <w:p>
            <w:pPr>
              <w:pStyle w:val="TableContents"/>
              <w:bidi w:val="0"/>
              <w:spacing w:before="0" w:after="283"/>
              <w:jc w:val="left"/>
              <w:rPr/>
            </w:pPr>
            <w:r>
              <w:rPr/>
              <w:t>Name:</w:t>
            </w:r>
          </w:p>
        </w:tc>
        <w:tc>
          <w:tcPr>
            <w:tcW w:w="171" w:type="dxa"/>
            <w:tcBorders/>
            <w:vAlign w:val="bottom"/>
          </w:tcPr>
          <w:p>
            <w:pPr>
              <w:pStyle w:val="TableContents"/>
              <w:bidi w:val="0"/>
              <w:spacing w:before="0" w:after="283"/>
              <w:jc w:val="left"/>
              <w:rPr/>
            </w:pPr>
            <w:r>
              <w:rPr/>
              <w:t> </w:t>
            </w:r>
          </w:p>
        </w:tc>
        <w:tc>
          <w:tcPr>
            <w:tcW w:w="2172" w:type="dxa"/>
            <w:tcBorders/>
          </w:tcPr>
          <w:p>
            <w:pPr>
              <w:pStyle w:val="TableContents"/>
              <w:bidi w:val="0"/>
              <w:spacing w:before="0" w:after="283"/>
              <w:jc w:val="left"/>
              <w:rPr>
                <w:sz w:val="4"/>
                <w:szCs w:val="4"/>
              </w:rPr>
            </w:pPr>
            <w:r>
              <w:rPr>
                <w:sz w:val="4"/>
                <w:szCs w:val="4"/>
              </w:rPr>
            </w:r>
          </w:p>
        </w:tc>
      </w:tr>
      <w:tr>
        <w:trPr/>
        <w:tc>
          <w:tcPr>
            <w:tcW w:w="1739" w:type="dxa"/>
            <w:tcBorders/>
          </w:tcPr>
          <w:p>
            <w:pPr>
              <w:pStyle w:val="TableContents"/>
              <w:bidi w:val="0"/>
              <w:spacing w:before="0" w:after="283"/>
              <w:jc w:val="left"/>
              <w:rPr/>
            </w:pPr>
            <w:r>
              <w:rPr/>
              <w:t>Title:</w:t>
            </w:r>
          </w:p>
        </w:tc>
        <w:tc>
          <w:tcPr>
            <w:tcW w:w="171" w:type="dxa"/>
            <w:tcBorders/>
            <w:vAlign w:val="bottom"/>
          </w:tcPr>
          <w:p>
            <w:pPr>
              <w:pStyle w:val="TableContents"/>
              <w:bidi w:val="0"/>
              <w:spacing w:before="0" w:after="283"/>
              <w:jc w:val="left"/>
              <w:rPr/>
            </w:pPr>
            <w:r>
              <w:rPr/>
              <w:t> </w:t>
            </w:r>
          </w:p>
        </w:tc>
        <w:tc>
          <w:tcPr>
            <w:tcW w:w="2172" w:type="dxa"/>
            <w:tcBorders/>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[    ], as Trustee</w:t>
            </w:r>
          </w:p>
        </w:tc>
      </w:tr>
      <w:tr>
        <w:trPr>
          <w:trHeight w:val="240" w:hRule="atLeast"/>
        </w:trPr>
        <w:tc>
          <w:tcPr>
            <w:tcW w:w="1739" w:type="dxa"/>
            <w:tcBorders/>
            <w:vAlign w:val="center"/>
          </w:tcPr>
          <w:p>
            <w:pPr>
              <w:pStyle w:val="TableContents"/>
              <w:bidi w:val="0"/>
              <w:spacing w:before="0" w:after="283"/>
              <w:jc w:val="left"/>
              <w:rPr>
                <w:sz w:val="4"/>
                <w:szCs w:val="4"/>
              </w:rPr>
            </w:pPr>
            <w:r>
              <w:rPr>
                <w:sz w:val="4"/>
                <w:szCs w:val="4"/>
              </w:rPr>
            </w:r>
          </w:p>
        </w:tc>
        <w:tc>
          <w:tcPr>
            <w:tcW w:w="2343" w:type="dxa"/>
            <w:gridSpan w:val="2"/>
            <w:tcBorders/>
            <w:vAlign w:val="center"/>
          </w:tcPr>
          <w:p>
            <w:pPr>
              <w:pStyle w:val="TableContents"/>
              <w:bidi w:val="0"/>
              <w:spacing w:before="0" w:after="283"/>
              <w:jc w:val="left"/>
              <w:rPr>
                <w:sz w:val="4"/>
                <w:szCs w:val="4"/>
              </w:rPr>
            </w:pPr>
            <w:r>
              <w:rPr>
                <w:sz w:val="4"/>
                <w:szCs w:val="4"/>
              </w:rPr>
            </w:r>
          </w:p>
        </w:tc>
      </w:tr>
      <w:tr>
        <w:trPr/>
        <w:tc>
          <w:tcPr>
            <w:tcW w:w="1739" w:type="dxa"/>
            <w:tcBorders/>
          </w:tcPr>
          <w:p>
            <w:pPr>
              <w:pStyle w:val="TableContents"/>
              <w:bidi w:val="0"/>
              <w:spacing w:before="0" w:after="283"/>
              <w:jc w:val="left"/>
              <w:rPr/>
            </w:pPr>
            <w:r>
              <w:rPr/>
              <w:t>By:</w:t>
            </w:r>
          </w:p>
        </w:tc>
        <w:tc>
          <w:tcPr>
            <w:tcW w:w="171" w:type="dxa"/>
            <w:tcBorders/>
            <w:vAlign w:val="bottom"/>
          </w:tcPr>
          <w:p>
            <w:pPr>
              <w:pStyle w:val="TableContents"/>
              <w:bidi w:val="0"/>
              <w:spacing w:before="0" w:after="283"/>
              <w:jc w:val="left"/>
              <w:rPr/>
            </w:pPr>
            <w:r>
              <w:rPr/>
              <w:t> </w:t>
            </w:r>
          </w:p>
        </w:tc>
        <w:tc>
          <w:tcPr>
            <w:tcW w:w="2172" w:type="dxa"/>
            <w:tcBorders/>
          </w:tcPr>
          <w:p>
            <w:pPr>
              <w:pStyle w:val="TableContents"/>
              <w:pBdr>
                <w:bottom w:val="single" w:sz="2" w:space="1" w:color="000000"/>
              </w:pBdr>
              <w:bidi w:val="0"/>
              <w:spacing w:before="0" w:after="20"/>
              <w:jc w:val="left"/>
              <w:rPr/>
            </w:pPr>
            <w:r>
              <w:rPr/>
              <w:t> </w:t>
            </w:r>
          </w:p>
        </w:tc>
      </w:tr>
      <w:tr>
        <w:trPr/>
        <w:tc>
          <w:tcPr>
            <w:tcW w:w="1739" w:type="dxa"/>
            <w:tcBorders/>
          </w:tcPr>
          <w:p>
            <w:pPr>
              <w:pStyle w:val="TableContents"/>
              <w:bidi w:val="0"/>
              <w:spacing w:before="0" w:after="283"/>
              <w:jc w:val="left"/>
              <w:rPr/>
            </w:pPr>
            <w:r>
              <w:rPr/>
              <w:t>Name:</w:t>
            </w:r>
          </w:p>
        </w:tc>
        <w:tc>
          <w:tcPr>
            <w:tcW w:w="171" w:type="dxa"/>
            <w:tcBorders/>
            <w:vAlign w:val="bottom"/>
          </w:tcPr>
          <w:p>
            <w:pPr>
              <w:pStyle w:val="TableContents"/>
              <w:bidi w:val="0"/>
              <w:spacing w:before="0" w:after="283"/>
              <w:jc w:val="left"/>
              <w:rPr/>
            </w:pPr>
            <w:r>
              <w:rPr/>
              <w:t> </w:t>
            </w:r>
          </w:p>
        </w:tc>
        <w:tc>
          <w:tcPr>
            <w:tcW w:w="2172" w:type="dxa"/>
            <w:tcBorders/>
          </w:tcPr>
          <w:p>
            <w:pPr>
              <w:pStyle w:val="TableContents"/>
              <w:bidi w:val="0"/>
              <w:spacing w:before="0" w:after="283"/>
              <w:jc w:val="left"/>
              <w:rPr>
                <w:sz w:val="4"/>
                <w:szCs w:val="4"/>
              </w:rPr>
            </w:pPr>
            <w:r>
              <w:rPr>
                <w:sz w:val="4"/>
                <w:szCs w:val="4"/>
              </w:rPr>
            </w:r>
          </w:p>
        </w:tc>
      </w:tr>
      <w:tr>
        <w:trPr/>
        <w:tc>
          <w:tcPr>
            <w:tcW w:w="1739" w:type="dxa"/>
            <w:tcBorders/>
          </w:tcPr>
          <w:p>
            <w:pPr>
              <w:pStyle w:val="TableContents"/>
              <w:bidi w:val="0"/>
              <w:spacing w:before="0" w:after="283"/>
              <w:jc w:val="left"/>
              <w:rPr/>
            </w:pPr>
            <w:r>
              <w:rPr/>
              <w:t>Title:</w:t>
            </w:r>
          </w:p>
        </w:tc>
        <w:tc>
          <w:tcPr>
            <w:tcW w:w="171" w:type="dxa"/>
            <w:tcBorders/>
            <w:vAlign w:val="bottom"/>
          </w:tcPr>
          <w:p>
            <w:pPr>
              <w:pStyle w:val="TableContents"/>
              <w:bidi w:val="0"/>
              <w:spacing w:before="0" w:after="283"/>
              <w:jc w:val="left"/>
              <w:rPr/>
            </w:pPr>
            <w:r>
              <w:rPr/>
              <w:t> </w:t>
            </w:r>
          </w:p>
        </w:tc>
        <w:tc>
          <w:tcPr>
            <w:tcW w:w="2172"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167"/>
        <w:gridCol w:w="123"/>
        <w:gridCol w:w="5915"/>
      </w:tblGrid>
      <w:tr>
        <w:trPr/>
        <w:tc>
          <w:tcPr>
            <w:tcW w:w="416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5915" w:type="dxa"/>
            <w:tcBorders/>
            <w:vAlign w:val="center"/>
          </w:tcPr>
          <w:p>
            <w:pPr>
              <w:pStyle w:val="TableContents"/>
              <w:bidi w:val="0"/>
              <w:spacing w:before="0" w:after="283"/>
              <w:jc w:val="left"/>
              <w:rPr>
                <w:sz w:val="4"/>
                <w:szCs w:val="4"/>
              </w:rPr>
            </w:pPr>
            <w:r>
              <w:rPr>
                <w:sz w:val="4"/>
                <w:szCs w:val="4"/>
              </w:rPr>
            </w:r>
          </w:p>
        </w:tc>
      </w:tr>
      <w:tr>
        <w:trPr/>
        <w:tc>
          <w:tcPr>
            <w:tcW w:w="4167" w:type="dxa"/>
            <w:tcBorders/>
          </w:tcPr>
          <w:p>
            <w:pPr>
              <w:pStyle w:val="TableContents"/>
              <w:bidi w:val="0"/>
              <w:spacing w:before="0" w:after="283"/>
              <w:jc w:val="left"/>
              <w:rPr/>
            </w:pPr>
            <w:r>
              <w:rPr/>
              <w:t>No.</w:t>
            </w:r>
          </w:p>
        </w:tc>
        <w:tc>
          <w:tcPr>
            <w:tcW w:w="123" w:type="dxa"/>
            <w:tcBorders/>
            <w:vAlign w:val="bottom"/>
          </w:tcPr>
          <w:p>
            <w:pPr>
              <w:pStyle w:val="TableContents"/>
              <w:bidi w:val="0"/>
              <w:spacing w:before="0" w:after="283"/>
              <w:jc w:val="left"/>
              <w:rPr/>
            </w:pPr>
            <w:r>
              <w:rPr/>
              <w:t>  </w:t>
            </w:r>
          </w:p>
        </w:tc>
        <w:tc>
          <w:tcPr>
            <w:tcW w:w="5915" w:type="dxa"/>
            <w:tcBorders/>
          </w:tcPr>
          <w:p>
            <w:pPr>
              <w:pStyle w:val="TableContents"/>
              <w:bidi w:val="0"/>
              <w:spacing w:before="0" w:after="0"/>
              <w:jc w:val="left"/>
              <w:rPr>
                <w:rFonts w:ascii="Times New Roman" w:hAnsi="Times New Roman"/>
                <w:sz w:val="20"/>
              </w:rPr>
            </w:pPr>
            <w:r>
              <w:rPr>
                <w:rFonts w:ascii="Times New Roman" w:hAnsi="Times New Roman"/>
                <w:sz w:val="20"/>
              </w:rPr>
              <w:t>CUSIP/ISIN No.:</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[Title of Security] </w:t>
      </w:r>
    </w:p>
    <w:p>
      <w:pPr>
        <w:pStyle w:val="TextBody"/>
        <w:bidi w:val="0"/>
        <w:spacing w:before="480" w:after="0"/>
        <w:jc w:val="center"/>
        <w:rPr>
          <w:rFonts w:ascii="Times New Roman" w:hAnsi="Times New Roman"/>
          <w:b/>
          <w:sz w:val="20"/>
        </w:rPr>
      </w:pPr>
      <w:r>
        <w:rPr>
          <w:rFonts w:ascii="Times New Roman" w:hAnsi="Times New Roman"/>
          <w:b/>
          <w:sz w:val="20"/>
        </w:rPr>
        <w:t xml:space="preserve">DAMORA THERAPEUTICS, INC. </w:t>
      </w:r>
    </w:p>
    <w:p>
      <w:pPr>
        <w:pStyle w:val="TextBody"/>
        <w:bidi w:val="0"/>
        <w:spacing w:before="0" w:after="0"/>
        <w:jc w:val="center"/>
        <w:rPr>
          <w:rFonts w:ascii="Times New Roman" w:hAnsi="Times New Roman"/>
          <w:sz w:val="20"/>
        </w:rPr>
      </w:pPr>
      <w:r>
        <w:rPr>
          <w:rFonts w:ascii="Times New Roman" w:hAnsi="Times New Roman"/>
          <w:sz w:val="20"/>
        </w:rPr>
        <w:t xml:space="preserve">a Cayman Islands exempted company </w:t>
      </w:r>
    </w:p>
    <w:p>
      <w:pPr>
        <w:pStyle w:val="TextBody"/>
        <w:bidi w:val="0"/>
        <w:spacing w:before="240" w:after="0"/>
        <w:jc w:val="left"/>
        <w:rPr>
          <w:rFonts w:ascii="Times New Roman" w:hAnsi="Times New Roman"/>
          <w:sz w:val="20"/>
        </w:rPr>
      </w:pPr>
      <w:r>
        <w:rPr>
          <w:rFonts w:ascii="Times New Roman" w:hAnsi="Times New Roman"/>
          <w:sz w:val="20"/>
        </w:rPr>
        <w:t xml:space="preserve">promises to pay to or registered assigns the principal sum of [Dollars]* on   . </w:t>
      </w:r>
    </w:p>
    <w:p>
      <w:pPr>
        <w:pStyle w:val="TextBody"/>
        <w:bidi w:val="0"/>
        <w:spacing w:before="240" w:after="0"/>
        <w:jc w:val="left"/>
        <w:rPr>
          <w:rFonts w:ascii="Times New Roman" w:hAnsi="Times New Roman"/>
          <w:sz w:val="20"/>
        </w:rPr>
      </w:pPr>
      <w:r>
        <w:rPr>
          <w:rFonts w:ascii="Times New Roman" w:hAnsi="Times New Roman"/>
          <w:sz w:val="20"/>
        </w:rPr>
        <w:t xml:space="preserve">Interest Payment Dates: and </w:t>
      </w:r>
    </w:p>
    <w:p>
      <w:pPr>
        <w:pStyle w:val="TextBody"/>
        <w:bidi w:val="0"/>
        <w:spacing w:before="240" w:after="0"/>
        <w:jc w:val="left"/>
        <w:rPr>
          <w:rFonts w:ascii="Times New Roman" w:hAnsi="Times New Roman"/>
          <w:sz w:val="20"/>
        </w:rPr>
      </w:pPr>
      <w:r>
        <w:rPr>
          <w:rFonts w:ascii="Times New Roman" w:hAnsi="Times New Roman"/>
          <w:sz w:val="20"/>
        </w:rPr>
        <w:t xml:space="preserve">Record Dates: and </w:t>
      </w:r>
    </w:p>
    <w:p>
      <w:pPr>
        <w:pStyle w:val="TextBody"/>
        <w:bidi w:val="0"/>
        <w:spacing w:before="240" w:after="0"/>
        <w:jc w:val="left"/>
        <w:rPr>
          <w:rFonts w:ascii="Times New Roman" w:hAnsi="Times New Roman"/>
          <w:sz w:val="20"/>
        </w:rPr>
      </w:pPr>
      <w:r>
        <w:rPr>
          <w:rFonts w:ascii="Times New Roman" w:hAnsi="Times New Roman"/>
          <w:sz w:val="20"/>
        </w:rPr>
        <w:t xml:space="preserve">Authenticated: Dated: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387"/>
        <w:gridCol w:w="158"/>
        <w:gridCol w:w="2537"/>
      </w:tblGrid>
      <w:tr>
        <w:trPr/>
        <w:tc>
          <w:tcPr>
            <w:tcW w:w="1387" w:type="dxa"/>
            <w:tcBorders/>
            <w:vAlign w:val="center"/>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253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DAMORA THERAPEUTICS, INC.</w:t>
            </w:r>
          </w:p>
          <w:p>
            <w:pPr>
              <w:pStyle w:val="TableContents"/>
              <w:bidi w:val="0"/>
              <w:spacing w:before="0" w:after="20"/>
              <w:jc w:val="left"/>
              <w:rPr/>
            </w:pPr>
            <w:r>
              <w:rPr/>
              <w:t> </w:t>
            </w:r>
          </w:p>
        </w:tc>
      </w:tr>
      <w:tr>
        <w:trPr/>
        <w:tc>
          <w:tcPr>
            <w:tcW w:w="1387" w:type="dxa"/>
            <w:tcBorders/>
          </w:tcPr>
          <w:p>
            <w:pPr>
              <w:pStyle w:val="TableContents"/>
              <w:bidi w:val="0"/>
              <w:spacing w:before="0" w:after="283"/>
              <w:jc w:val="left"/>
              <w:rPr/>
            </w:pPr>
            <w:r>
              <w:rPr/>
              <w:t>By:</w:t>
            </w:r>
          </w:p>
        </w:tc>
        <w:tc>
          <w:tcPr>
            <w:tcW w:w="158" w:type="dxa"/>
            <w:tcBorders/>
            <w:vAlign w:val="bottom"/>
          </w:tcPr>
          <w:p>
            <w:pPr>
              <w:pStyle w:val="TableContents"/>
              <w:bidi w:val="0"/>
              <w:spacing w:before="0" w:after="283"/>
              <w:jc w:val="left"/>
              <w:rPr/>
            </w:pPr>
            <w:r>
              <w:rPr/>
              <w:t> </w:t>
            </w:r>
          </w:p>
        </w:tc>
        <w:tc>
          <w:tcPr>
            <w:tcW w:w="2537" w:type="dxa"/>
            <w:tcBorders/>
          </w:tcPr>
          <w:p>
            <w:pPr>
              <w:pStyle w:val="TableContents"/>
              <w:pBdr>
                <w:bottom w:val="single" w:sz="2" w:space="1" w:color="000000"/>
              </w:pBdr>
              <w:bidi w:val="0"/>
              <w:spacing w:before="0" w:after="20"/>
              <w:jc w:val="left"/>
              <w:rPr/>
            </w:pPr>
            <w:r>
              <w:rPr/>
              <w:t> </w:t>
            </w:r>
          </w:p>
        </w:tc>
      </w:tr>
      <w:tr>
        <w:trPr/>
        <w:tc>
          <w:tcPr>
            <w:tcW w:w="1387"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158" w:type="dxa"/>
            <w:tcBorders/>
            <w:vAlign w:val="bottom"/>
          </w:tcPr>
          <w:p>
            <w:pPr>
              <w:pStyle w:val="TableContents"/>
              <w:bidi w:val="0"/>
              <w:spacing w:before="0" w:after="283"/>
              <w:jc w:val="left"/>
              <w:rPr/>
            </w:pPr>
            <w:r>
              <w:rPr/>
              <w:t> </w:t>
            </w:r>
          </w:p>
        </w:tc>
        <w:tc>
          <w:tcPr>
            <w:tcW w:w="2537" w:type="dxa"/>
            <w:tcBorders/>
          </w:tcPr>
          <w:p>
            <w:pPr>
              <w:pStyle w:val="TableContents"/>
              <w:bidi w:val="0"/>
              <w:spacing w:before="0" w:after="283"/>
              <w:jc w:val="left"/>
              <w:rPr>
                <w:sz w:val="4"/>
                <w:szCs w:val="4"/>
              </w:rPr>
            </w:pPr>
            <w:r>
              <w:rPr>
                <w:sz w:val="4"/>
                <w:szCs w:val="4"/>
              </w:rPr>
            </w:r>
          </w:p>
        </w:tc>
      </w:tr>
      <w:tr>
        <w:trPr/>
        <w:tc>
          <w:tcPr>
            <w:tcW w:w="1387"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158" w:type="dxa"/>
            <w:tcBorders/>
            <w:vAlign w:val="bottom"/>
          </w:tcPr>
          <w:p>
            <w:pPr>
              <w:pStyle w:val="TableContents"/>
              <w:bidi w:val="0"/>
              <w:spacing w:before="0" w:after="283"/>
              <w:jc w:val="left"/>
              <w:rPr/>
            </w:pPr>
            <w:r>
              <w:rPr/>
              <w:t> </w:t>
            </w:r>
          </w:p>
        </w:tc>
        <w:tc>
          <w:tcPr>
            <w:tcW w:w="2537"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[      ],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as Trustee, certifies that this is one of the Securities referred to in the within mentioned Indenture.</w:t>
            </w:r>
          </w:p>
          <w:p>
            <w:pPr>
              <w:pStyle w:val="TableContents"/>
              <w:bidi w:val="0"/>
              <w:spacing w:before="0" w:after="20"/>
              <w:jc w:val="left"/>
              <w:rPr/>
            </w:pPr>
            <w:r>
              <w:rPr/>
              <w:t> </w:t>
            </w:r>
          </w:p>
        </w:tc>
      </w:tr>
      <w:tr>
        <w:trPr/>
        <w:tc>
          <w:tcPr>
            <w:tcW w:w="37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pBdr>
                <w:bottom w:val="single" w:sz="2" w:space="1" w:color="000000"/>
              </w:pBdr>
              <w:bidi w:val="0"/>
              <w:spacing w:before="0" w:after="20"/>
              <w:jc w:val="left"/>
              <w:rPr/>
            </w:pPr>
            <w:r>
              <w:rPr/>
              <w:t> </w:t>
            </w:r>
          </w:p>
        </w:tc>
      </w:tr>
      <w:tr>
        <w:trPr/>
        <w:tc>
          <w:tcPr>
            <w:tcW w:w="37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Authorized Signatory</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 other currency. Insert corresponding provisions on reverse side of Security in respect of foreign currency denomination or interest payment requirement.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DAMORA THERAPEUTICS, INC. </w:t>
      </w:r>
    </w:p>
    <w:p>
      <w:pPr>
        <w:pStyle w:val="TextBody"/>
        <w:bidi w:val="0"/>
        <w:spacing w:before="240" w:after="0"/>
        <w:jc w:val="center"/>
        <w:rPr>
          <w:rFonts w:ascii="Times New Roman" w:hAnsi="Times New Roman"/>
          <w:sz w:val="20"/>
        </w:rPr>
      </w:pPr>
      <w:r>
        <w:rPr>
          <w:rFonts w:ascii="Times New Roman" w:hAnsi="Times New Roman"/>
          <w:sz w:val="20"/>
        </w:rPr>
        <w:t xml:space="preserve">[Title of Security] </w:t>
      </w:r>
    </w:p>
    <w:p>
      <w:pPr>
        <w:pStyle w:val="TextBody"/>
        <w:bidi w:val="0"/>
        <w:spacing w:before="240" w:after="0"/>
        <w:jc w:val="left"/>
        <w:rPr>
          <w:rFonts w:ascii="Times New Roman" w:hAnsi="Times New Roman"/>
          <w:sz w:val="20"/>
        </w:rPr>
      </w:pPr>
      <w:r>
        <w:rPr>
          <w:rFonts w:ascii="Times New Roman" w:hAnsi="Times New Roman"/>
          <w:sz w:val="20"/>
        </w:rPr>
        <w:t>DAMORA THERAPEUTICS, INC., a Cayman Islands exempted company (together with its successors and assigns, the “</w:t>
      </w:r>
      <w:r>
        <w:rPr>
          <w:rFonts w:ascii="Times New Roman" w:hAnsi="Times New Roman"/>
          <w:b/>
          <w:sz w:val="20"/>
        </w:rPr>
        <w:t>Company</w:t>
      </w:r>
      <w:r>
        <w:rPr>
          <w:rFonts w:ascii="Times New Roman" w:hAnsi="Times New Roman"/>
          <w:sz w:val="20"/>
        </w:rPr>
        <w:t>”), issued this Security under an Indenture dated as of (as amended, modified or supplemented from time to time in accordance therewith, the “</w:t>
      </w:r>
      <w:r>
        <w:rPr>
          <w:rFonts w:ascii="Times New Roman" w:hAnsi="Times New Roman"/>
          <w:b/>
          <w:sz w:val="20"/>
        </w:rPr>
        <w:t>Base Indenture</w:t>
      </w:r>
      <w:r>
        <w:rPr>
          <w:rFonts w:ascii="Times New Roman" w:hAnsi="Times New Roman"/>
          <w:sz w:val="20"/>
        </w:rPr>
        <w:t>”), as supplemented by the Supplemental Indenture dated as of (the “</w:t>
      </w:r>
      <w:r>
        <w:rPr>
          <w:rFonts w:ascii="Times New Roman" w:hAnsi="Times New Roman"/>
          <w:b/>
          <w:sz w:val="20"/>
        </w:rPr>
        <w:t>Supplemental Indenture</w:t>
      </w:r>
      <w:r>
        <w:rPr>
          <w:rFonts w:ascii="Times New Roman" w:hAnsi="Times New Roman"/>
          <w:sz w:val="20"/>
        </w:rPr>
        <w:t>” and together with the Base Indenture, the “</w:t>
      </w:r>
      <w:r>
        <w:rPr>
          <w:rFonts w:ascii="Times New Roman" w:hAnsi="Times New Roman"/>
          <w:b/>
          <w:sz w:val="20"/>
        </w:rPr>
        <w:t>Indenture</w:t>
      </w:r>
      <w:r>
        <w:rPr>
          <w:rFonts w:ascii="Times New Roman" w:hAnsi="Times New Roman"/>
          <w:sz w:val="20"/>
        </w:rPr>
        <w:t>”), by and among the Company and [ ], as trustee (in such capacity, the “</w:t>
      </w:r>
      <w:r>
        <w:rPr>
          <w:rFonts w:ascii="Times New Roman" w:hAnsi="Times New Roman"/>
          <w:b/>
          <w:sz w:val="20"/>
        </w:rPr>
        <w:t>Trustee</w:t>
      </w:r>
      <w:r>
        <w:rPr>
          <w:rFonts w:ascii="Times New Roman" w:hAnsi="Times New Roman"/>
          <w:sz w:val="20"/>
        </w:rPr>
        <w:t xml:space="preserve">”), to which reference is hereby made for a statement of the respective rights, obligations, duties and immunities thereunder of the Company, the Trustee and the Holders and of the terms upon which the Securities are, and are to be, authorized and delivered. All terms used in this Security that are defined in the Indenture shall have the meanings assigned to them therein. </w:t>
      </w:r>
    </w:p>
    <w:p>
      <w:pPr>
        <w:pStyle w:val="TextBody"/>
        <w:bidi w:val="0"/>
        <w:spacing w:before="240" w:after="0"/>
        <w:jc w:val="left"/>
        <w:rPr>
          <w:rFonts w:ascii="Times New Roman" w:hAnsi="Times New Roman"/>
          <w:sz w:val="20"/>
        </w:rPr>
      </w:pPr>
      <w:r>
        <w:rPr>
          <w:rFonts w:ascii="Times New Roman" w:hAnsi="Times New Roman"/>
          <w:b/>
          <w:sz w:val="20"/>
        </w:rPr>
        <w:t xml:space="preserve">1. </w:t>
      </w:r>
      <w:r>
        <w:rPr>
          <w:rFonts w:ascii="Times New Roman" w:hAnsi="Times New Roman"/>
          <w:b/>
          <w:sz w:val="20"/>
          <w:u w:val="single"/>
        </w:rPr>
        <w:t>Interest</w:t>
      </w:r>
      <w:r>
        <w:rPr>
          <w:rFonts w:ascii="Times New Roman" w:hAnsi="Times New Roman"/>
          <w:b/>
          <w:sz w:val="20"/>
        </w:rPr>
        <w:t>.</w:t>
      </w:r>
      <w:r>
        <w:rPr>
          <w:rFonts w:ascii="Times New Roman" w:hAnsi="Times New Roman"/>
          <w:sz w:val="20"/>
        </w:rPr>
        <w:t xml:space="preserve"> The Company promises to pay interest on the principal amount of this Security at the rate per annum shown above. The Company will pay interest semiannually on    and    of each year, commencing     ,     , until the principal is paid or made available for payment. Interest on the Securities will accrue from the most recent date to which interest has been paid or duly provided for or, if no interest has been paid, from     . Interest will be computed on the basis of a 360-day year of twelve 30-day months. </w:t>
      </w:r>
    </w:p>
    <w:p>
      <w:pPr>
        <w:pStyle w:val="TextBody"/>
        <w:bidi w:val="0"/>
        <w:spacing w:before="240" w:after="0"/>
        <w:jc w:val="left"/>
        <w:rPr>
          <w:rFonts w:ascii="Times New Roman" w:hAnsi="Times New Roman"/>
          <w:sz w:val="20"/>
        </w:rPr>
      </w:pPr>
      <w:r>
        <w:rPr>
          <w:rFonts w:ascii="Times New Roman" w:hAnsi="Times New Roman"/>
          <w:b/>
          <w:sz w:val="20"/>
        </w:rPr>
        <w:t xml:space="preserve">2. </w:t>
      </w:r>
      <w:r>
        <w:rPr>
          <w:rFonts w:ascii="Times New Roman" w:hAnsi="Times New Roman"/>
          <w:b/>
          <w:sz w:val="20"/>
          <w:u w:val="single"/>
        </w:rPr>
        <w:t>Method of Payment</w:t>
      </w:r>
      <w:r>
        <w:rPr>
          <w:rFonts w:ascii="Times New Roman" w:hAnsi="Times New Roman"/>
          <w:b/>
          <w:sz w:val="20"/>
        </w:rPr>
        <w:t>.</w:t>
      </w:r>
      <w:r>
        <w:rPr>
          <w:rFonts w:ascii="Times New Roman" w:hAnsi="Times New Roman"/>
          <w:sz w:val="20"/>
        </w:rPr>
        <w:t xml:space="preserve"> The Company will pay interest on the Securities (except defaulted interest, if any, which will be paid on such special payment date to Holders of record on such special record date as may be fixed by the Company) to the persons who are registered Holders of Securities at the close of business on the [Insert record dates] immediately preceding the interest payment date. Holders must surrender Securities to a Paying Agent to collect principal payments. The Company will pay principal and interest in money of [Insert applicable country or currency] that at the time of payment is legal tender for payment of public and private debts. </w:t>
      </w:r>
    </w:p>
    <w:p>
      <w:pPr>
        <w:pStyle w:val="TextBody"/>
        <w:bidi w:val="0"/>
        <w:spacing w:before="240" w:after="0"/>
        <w:jc w:val="left"/>
        <w:rPr>
          <w:rFonts w:ascii="Times New Roman" w:hAnsi="Times New Roman"/>
          <w:sz w:val="20"/>
        </w:rPr>
      </w:pPr>
      <w:r>
        <w:rPr>
          <w:rFonts w:ascii="Times New Roman" w:hAnsi="Times New Roman"/>
          <w:b/>
          <w:sz w:val="20"/>
        </w:rPr>
        <w:t xml:space="preserve">3. </w:t>
      </w:r>
      <w:r>
        <w:rPr>
          <w:rFonts w:ascii="Times New Roman" w:hAnsi="Times New Roman"/>
          <w:b/>
          <w:sz w:val="20"/>
          <w:u w:val="single"/>
        </w:rPr>
        <w:t>Paying Agent and Registrar</w:t>
      </w:r>
      <w:r>
        <w:rPr>
          <w:rFonts w:ascii="Times New Roman" w:hAnsi="Times New Roman"/>
          <w:b/>
          <w:sz w:val="20"/>
        </w:rPr>
        <w:t>.</w:t>
      </w:r>
      <w:r>
        <w:rPr>
          <w:rFonts w:ascii="Times New Roman" w:hAnsi="Times New Roman"/>
          <w:sz w:val="20"/>
        </w:rPr>
        <w:t xml:space="preserve"> Initially, the Trustee will act as Paying Agent and Registrar. The Company may change or appoint any Paying Agent, Registrar or co-Registrar without notice. The Company or any of its Subsidiaries or any of their Affiliates may act as Paying Agent, Registrar or co-Registrar. </w:t>
      </w:r>
    </w:p>
    <w:p>
      <w:pPr>
        <w:pStyle w:val="TextBody"/>
        <w:bidi w:val="0"/>
        <w:spacing w:before="240" w:after="0"/>
        <w:jc w:val="left"/>
        <w:rPr>
          <w:rFonts w:ascii="Times New Roman" w:hAnsi="Times New Roman"/>
          <w:sz w:val="20"/>
        </w:rPr>
      </w:pPr>
      <w:r>
        <w:rPr>
          <w:rFonts w:ascii="Times New Roman" w:hAnsi="Times New Roman"/>
          <w:b/>
          <w:sz w:val="20"/>
        </w:rPr>
        <w:t xml:space="preserve">4. </w:t>
      </w:r>
      <w:r>
        <w:rPr>
          <w:rFonts w:ascii="Times New Roman" w:hAnsi="Times New Roman"/>
          <w:b/>
          <w:sz w:val="20"/>
          <w:u w:val="single"/>
        </w:rPr>
        <w:t>Optional Redemption</w:t>
      </w:r>
      <w:r>
        <w:rPr>
          <w:rFonts w:ascii="Times New Roman" w:hAnsi="Times New Roman"/>
          <w:b/>
          <w:sz w:val="20"/>
        </w:rPr>
        <w:t>.</w:t>
      </w:r>
      <w:r>
        <w:rPr>
          <w:rFonts w:ascii="Times New Roman" w:hAnsi="Times New Roman"/>
          <w:sz w:val="20"/>
        </w:rPr>
        <w:t xml:space="preserve">1 The Company may redeem the Securities at any time on or after   , in whole or in part, at the following redemption prices (expressed as a percentage of their principal amount) together with interest accrued and unpaid to the date fixed for redemption: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73"/>
        <w:gridCol w:w="349"/>
        <w:gridCol w:w="85"/>
        <w:gridCol w:w="1070"/>
        <w:gridCol w:w="62"/>
      </w:tblGrid>
      <w:tr>
        <w:trPr/>
        <w:tc>
          <w:tcPr>
            <w:tcW w:w="5373"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373"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If redeemed during the twelve-month period</w:t>
            </w:r>
          </w:p>
          <w:p>
            <w:pPr>
              <w:pStyle w:val="TableContents"/>
              <w:bidi w:val="0"/>
              <w:spacing w:before="0" w:after="0"/>
              <w:jc w:val="left"/>
              <w:rPr>
                <w:rFonts w:ascii="Times New Roman" w:hAnsi="Times New Roman"/>
                <w:b/>
                <w:sz w:val="16"/>
              </w:rPr>
            </w:pPr>
            <w:r>
              <w:rPr>
                <w:rFonts w:ascii="Times New Roman" w:hAnsi="Times New Roman"/>
                <w:b/>
                <w:sz w:val="16"/>
              </w:rPr>
              <w:t>commencing on and ending on in each of</w:t>
            </w:r>
          </w:p>
          <w:p>
            <w:pPr>
              <w:pStyle w:val="TableContents"/>
              <w:bidi w:val="0"/>
              <w:spacing w:before="0" w:after="20"/>
              <w:jc w:val="left"/>
              <w:rPr>
                <w:rFonts w:ascii="Times New Roman" w:hAnsi="Times New Roman"/>
                <w:b/>
                <w:sz w:val="16"/>
              </w:rPr>
            </w:pPr>
            <w:r>
              <w:rPr>
                <w:rFonts w:ascii="Times New Roman" w:hAnsi="Times New Roman"/>
                <w:b/>
                <w:sz w:val="16"/>
              </w:rPr>
              <w:t>the following years</w:t>
            </w:r>
          </w:p>
        </w:tc>
        <w:tc>
          <w:tcPr>
            <w:tcW w:w="349" w:type="dxa"/>
            <w:tcBorders/>
            <w:vAlign w:val="bottom"/>
          </w:tcPr>
          <w:p>
            <w:pPr>
              <w:pStyle w:val="TableContents"/>
              <w:bidi w:val="0"/>
              <w:spacing w:before="0" w:after="283"/>
              <w:jc w:val="left"/>
              <w:rPr/>
            </w:pPr>
            <w:r>
              <w:rPr/>
              <w:t>  </w:t>
            </w:r>
          </w:p>
        </w:tc>
        <w:tc>
          <w:tcPr>
            <w:tcW w:w="11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62" w:type="dxa"/>
            <w:tcBorders/>
            <w:vAlign w:val="bottom"/>
          </w:tcPr>
          <w:p>
            <w:pPr>
              <w:pStyle w:val="TableContents"/>
              <w:bidi w:val="0"/>
              <w:spacing w:before="0" w:after="283"/>
              <w:jc w:val="left"/>
              <w:rPr/>
            </w:pPr>
            <w:r>
              <w:rPr/>
              <w:t> </w:t>
            </w:r>
          </w:p>
        </w:tc>
      </w:tr>
      <w:tr>
        <w:trPr/>
        <w:tc>
          <w:tcPr>
            <w:tcW w:w="5373" w:type="dxa"/>
            <w:tcBorders/>
            <w:shd w:fill="CCEEFF" w:val="clear"/>
          </w:tcPr>
          <w:p>
            <w:pPr>
              <w:pStyle w:val="TableContents"/>
              <w:bidi w:val="0"/>
              <w:spacing w:before="0" w:after="283"/>
              <w:jc w:val="left"/>
              <w:rPr>
                <w:sz w:val="4"/>
                <w:szCs w:val="4"/>
              </w:rPr>
            </w:pPr>
            <w:r>
              <w:rPr>
                <w:sz w:val="4"/>
                <w:szCs w:val="4"/>
              </w:rPr>
            </w:r>
          </w:p>
        </w:tc>
        <w:tc>
          <w:tcPr>
            <w:tcW w:w="349"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070"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r>
        <w:trPr/>
        <w:tc>
          <w:tcPr>
            <w:tcW w:w="5373"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1070"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[Insert provisions relating to redemption at option of Holders, if any] </w:t>
      </w:r>
    </w:p>
    <w:p>
      <w:pPr>
        <w:pStyle w:val="TextBody"/>
        <w:bidi w:val="0"/>
        <w:spacing w:before="240" w:after="0"/>
        <w:jc w:val="left"/>
        <w:rPr>
          <w:rFonts w:ascii="Times New Roman" w:hAnsi="Times New Roman"/>
          <w:sz w:val="20"/>
        </w:rPr>
      </w:pPr>
      <w:r>
        <w:rPr>
          <w:rFonts w:ascii="Times New Roman" w:hAnsi="Times New Roman"/>
          <w:sz w:val="20"/>
        </w:rPr>
        <w:t xml:space="preserve">Notice of redemption will be mailed at least 30 days but not more than 60 days before the redemption date to each Holder of Securities to be redeemed at its registered address. Securities in denominations larger than 2 may be redeemed in part. On and after the redemption date interest ceases to accrue on Securities or portions of them called for redemption, </w:t>
      </w:r>
      <w:r>
        <w:rPr>
          <w:rFonts w:ascii="Times New Roman" w:hAnsi="Times New Roman"/>
          <w:i/>
          <w:sz w:val="20"/>
        </w:rPr>
        <w:t>provided</w:t>
      </w:r>
      <w:r>
        <w:rPr>
          <w:rFonts w:ascii="Times New Roman" w:hAnsi="Times New Roman"/>
          <w:sz w:val="20"/>
        </w:rPr>
        <w:t xml:space="preserve"> that if the Company shall default in the payment of such Securities at the redemption price together with accrued interest, interest shall continue to accrue at the rate borne by the Securities.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applicable denominations and multiples.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5. </w:t>
      </w:r>
      <w:r>
        <w:rPr>
          <w:rFonts w:ascii="Times New Roman" w:hAnsi="Times New Roman"/>
          <w:b/>
          <w:sz w:val="20"/>
          <w:u w:val="single"/>
        </w:rPr>
        <w:t>Mandatory Redemption</w:t>
      </w:r>
      <w:r>
        <w:rPr>
          <w:rFonts w:ascii="Times New Roman" w:hAnsi="Times New Roman"/>
          <w:b/>
          <w:sz w:val="20"/>
        </w:rPr>
        <w:t>.</w:t>
      </w:r>
      <w:r>
        <w:rPr>
          <w:rFonts w:ascii="Times New Roman" w:hAnsi="Times New Roman"/>
          <w:sz w:val="20"/>
        </w:rPr>
        <w:t xml:space="preserve">3 The Company shall redeem [  ]% of the aggregate principal amount of Securities originally issued under the Indenture on each of [    ], which redemptions are calculated to retire [    ]% of the Securities originally issued prior to maturity. Such redemptions shall be made at a redemption price equal to 100% of the principal amount thereof, together with accrued interest to the redemption date. The Company may reduce the principal amount of Securities to be redeemed pursuant to this </w:t>
      </w:r>
      <w:r>
        <w:rPr>
          <w:rFonts w:ascii="Times New Roman" w:hAnsi="Times New Roman"/>
          <w:sz w:val="20"/>
          <w:u w:val="single"/>
        </w:rPr>
        <w:t>Paragraph 5</w:t>
      </w:r>
      <w:r>
        <w:rPr>
          <w:rFonts w:ascii="Times New Roman" w:hAnsi="Times New Roman"/>
          <w:sz w:val="20"/>
        </w:rPr>
        <w:t xml:space="preserve"> by the principal amount of any Securities previously redeemed, retired or acquired, otherwise than pursuant to this </w:t>
      </w:r>
      <w:r>
        <w:rPr>
          <w:rFonts w:ascii="Times New Roman" w:hAnsi="Times New Roman"/>
          <w:sz w:val="20"/>
          <w:u w:val="single"/>
        </w:rPr>
        <w:t>Paragraph 5</w:t>
      </w:r>
      <w:r>
        <w:rPr>
          <w:rFonts w:ascii="Times New Roman" w:hAnsi="Times New Roman"/>
          <w:sz w:val="20"/>
        </w:rPr>
        <w:t xml:space="preserve">, that the Company has delivered to the Trustee for cancellation and not previously credited to the Company’s obligations under this </w:t>
      </w:r>
      <w:r>
        <w:rPr>
          <w:rFonts w:ascii="Times New Roman" w:hAnsi="Times New Roman"/>
          <w:sz w:val="20"/>
          <w:u w:val="single"/>
        </w:rPr>
        <w:t>Paragraph 5</w:t>
      </w:r>
      <w:r>
        <w:rPr>
          <w:rFonts w:ascii="Times New Roman" w:hAnsi="Times New Roman"/>
          <w:sz w:val="20"/>
        </w:rPr>
        <w:t xml:space="preserve">. Each such Security shall be received and credited for such purpose by the Trustee at the redemption price and the amount of such mandatory redemption payment shall be reduced accordingly. </w:t>
      </w:r>
    </w:p>
    <w:p>
      <w:pPr>
        <w:pStyle w:val="TextBody"/>
        <w:bidi w:val="0"/>
        <w:spacing w:before="240" w:after="0"/>
        <w:jc w:val="left"/>
        <w:rPr>
          <w:rFonts w:ascii="Times New Roman" w:hAnsi="Times New Roman"/>
          <w:sz w:val="20"/>
        </w:rPr>
      </w:pPr>
      <w:r>
        <w:rPr>
          <w:rFonts w:ascii="Times New Roman" w:hAnsi="Times New Roman"/>
          <w:b/>
          <w:sz w:val="20"/>
        </w:rPr>
        <w:t xml:space="preserve">6. </w:t>
      </w:r>
      <w:r>
        <w:rPr>
          <w:rFonts w:ascii="Times New Roman" w:hAnsi="Times New Roman"/>
          <w:b/>
          <w:sz w:val="20"/>
          <w:u w:val="single"/>
        </w:rPr>
        <w:t>Denominations, Transfer, Exchange</w:t>
      </w:r>
      <w:r>
        <w:rPr>
          <w:rFonts w:ascii="Times New Roman" w:hAnsi="Times New Roman"/>
          <w:b/>
          <w:sz w:val="20"/>
        </w:rPr>
        <w:t>.</w:t>
      </w:r>
      <w:r>
        <w:rPr>
          <w:rFonts w:ascii="Times New Roman" w:hAnsi="Times New Roman"/>
          <w:sz w:val="20"/>
        </w:rPr>
        <w:t xml:space="preserve"> The Securities are in registered form only without coupons in denominations of    4 and integral multiples of    in excess thereof.5 A Holder may transfer or exchange Securities by presentation of such Securities to the Registrar or a co-Registrar with a request to register the transfer or to exchange them for an equal principal amount of Securities of other denominations. The Registrar may require a Holder, among other things, to furnish appropriate endorsements and transfer documents and to pay any taxes and fees required by law or permitted by the Indenture. The Registrar need not transfer or exchange any Security selected for redemption or purchase, except the unredeemed or unpurchased part thereof if the Security is redeemed or purchased in part, or transfer or exchange any Securities for a period of 15 days before a selection of Securities to be redeemed or purchased. </w:t>
      </w:r>
    </w:p>
    <w:p>
      <w:pPr>
        <w:pStyle w:val="TextBody"/>
        <w:bidi w:val="0"/>
        <w:spacing w:before="240" w:after="0"/>
        <w:jc w:val="left"/>
        <w:rPr>
          <w:rFonts w:ascii="Times New Roman" w:hAnsi="Times New Roman"/>
          <w:sz w:val="20"/>
        </w:rPr>
      </w:pPr>
      <w:r>
        <w:rPr>
          <w:rFonts w:ascii="Times New Roman" w:hAnsi="Times New Roman"/>
          <w:b/>
          <w:sz w:val="20"/>
        </w:rPr>
        <w:t xml:space="preserve">7. </w:t>
      </w:r>
      <w:r>
        <w:rPr>
          <w:rFonts w:ascii="Times New Roman" w:hAnsi="Times New Roman"/>
          <w:b/>
          <w:sz w:val="20"/>
          <w:u w:val="single"/>
        </w:rPr>
        <w:t>Persons Deemed Owners</w:t>
      </w:r>
      <w:r>
        <w:rPr>
          <w:rFonts w:ascii="Times New Roman" w:hAnsi="Times New Roman"/>
          <w:b/>
          <w:sz w:val="20"/>
        </w:rPr>
        <w:t>.</w:t>
      </w:r>
      <w:r>
        <w:rPr>
          <w:rFonts w:ascii="Times New Roman" w:hAnsi="Times New Roman"/>
          <w:sz w:val="20"/>
        </w:rPr>
        <w:t xml:space="preserve"> The registered Holder of this Security shall be treated as the owner of it for all purposes. </w:t>
      </w:r>
    </w:p>
    <w:p>
      <w:pPr>
        <w:pStyle w:val="TextBody"/>
        <w:bidi w:val="0"/>
        <w:spacing w:before="240" w:after="0"/>
        <w:jc w:val="left"/>
        <w:rPr>
          <w:rFonts w:ascii="Times New Roman" w:hAnsi="Times New Roman"/>
          <w:sz w:val="20"/>
        </w:rPr>
      </w:pPr>
      <w:r>
        <w:rPr>
          <w:rFonts w:ascii="Times New Roman" w:hAnsi="Times New Roman"/>
          <w:b/>
          <w:sz w:val="20"/>
        </w:rPr>
        <w:t xml:space="preserve">8. </w:t>
      </w:r>
      <w:r>
        <w:rPr>
          <w:rFonts w:ascii="Times New Roman" w:hAnsi="Times New Roman"/>
          <w:b/>
          <w:sz w:val="20"/>
          <w:u w:val="single"/>
        </w:rPr>
        <w:t>Unclaimed Money</w:t>
      </w:r>
      <w:r>
        <w:rPr>
          <w:rFonts w:ascii="Times New Roman" w:hAnsi="Times New Roman"/>
          <w:b/>
          <w:sz w:val="20"/>
        </w:rPr>
        <w:t>.</w:t>
      </w:r>
      <w:r>
        <w:rPr>
          <w:rFonts w:ascii="Times New Roman" w:hAnsi="Times New Roman"/>
          <w:sz w:val="20"/>
        </w:rPr>
        <w:t xml:space="preserve"> Subject to any applicable abandoned property law, the Trustee and the Paying Agent shall pay to the Company upon written request any money held by them for the payment of principal or interest that remains unclaimed for two years, and thereafter, Holders entitled to the money must look to the Company for payment as general creditors. </w:t>
      </w:r>
    </w:p>
    <w:p>
      <w:pPr>
        <w:pStyle w:val="TextBody"/>
        <w:bidi w:val="0"/>
        <w:spacing w:before="240" w:after="0"/>
        <w:jc w:val="left"/>
        <w:rPr>
          <w:rFonts w:ascii="Times New Roman" w:hAnsi="Times New Roman"/>
          <w:sz w:val="20"/>
        </w:rPr>
      </w:pPr>
      <w:r>
        <w:rPr>
          <w:rFonts w:ascii="Times New Roman" w:hAnsi="Times New Roman"/>
          <w:b/>
          <w:sz w:val="20"/>
        </w:rPr>
        <w:t xml:space="preserve">9. </w:t>
      </w:r>
      <w:r>
        <w:rPr>
          <w:rFonts w:ascii="Times New Roman" w:hAnsi="Times New Roman"/>
          <w:b/>
          <w:sz w:val="20"/>
          <w:u w:val="single"/>
        </w:rPr>
        <w:t>Amendment, Supplement, Waiver</w:t>
      </w:r>
      <w:r>
        <w:rPr>
          <w:rFonts w:ascii="Times New Roman" w:hAnsi="Times New Roman"/>
          <w:b/>
          <w:sz w:val="20"/>
        </w:rPr>
        <w:t>.</w:t>
      </w:r>
      <w:r>
        <w:rPr>
          <w:rFonts w:ascii="Times New Roman" w:hAnsi="Times New Roman"/>
          <w:sz w:val="20"/>
        </w:rPr>
        <w:t xml:space="preserve"> Subject to certain exceptions, the Indenture or the Securities of a Series may be amended or supplemented with the consent of the Holders of at least a majority in principal amount of the outstanding Securities of such Series and any past default or compliance with any provision relating to any Series of the Securities may be waived in a particular instance with the consent of the Holders of a majority in principal amount of the outstanding Securities of such Series.6 Without the consent of any Securityholder, the Company and the Trustee may amend or supplement the Indenture or the Securities in certain respects as specified in the Indenture. </w:t>
      </w:r>
    </w:p>
    <w:p>
      <w:pPr>
        <w:pStyle w:val="TextBody"/>
        <w:bidi w:val="0"/>
        <w:spacing w:before="240" w:after="0"/>
        <w:jc w:val="left"/>
        <w:rPr>
          <w:rFonts w:ascii="Times New Roman" w:hAnsi="Times New Roman"/>
          <w:sz w:val="20"/>
        </w:rPr>
      </w:pPr>
      <w:r>
        <w:rPr>
          <w:rFonts w:ascii="Times New Roman" w:hAnsi="Times New Roman"/>
          <w:b/>
          <w:sz w:val="20"/>
        </w:rPr>
        <w:t xml:space="preserve">10. </w:t>
      </w:r>
      <w:r>
        <w:rPr>
          <w:rFonts w:ascii="Times New Roman" w:hAnsi="Times New Roman"/>
          <w:b/>
          <w:sz w:val="20"/>
          <w:u w:val="single"/>
        </w:rPr>
        <w:t>Successor Company</w:t>
      </w:r>
      <w:r>
        <w:rPr>
          <w:rFonts w:ascii="Times New Roman" w:hAnsi="Times New Roman"/>
          <w:b/>
          <w:sz w:val="20"/>
        </w:rPr>
        <w:t>.</w:t>
      </w:r>
      <w:r>
        <w:rPr>
          <w:rFonts w:ascii="Times New Roman" w:hAnsi="Times New Roman"/>
          <w:sz w:val="20"/>
        </w:rPr>
        <w:t xml:space="preserve"> When a successor company assumes all the obligations of its predecessor under the Securities and the Indenture, the predecessor company will be released from those obligations. </w:t>
      </w:r>
    </w:p>
    <w:p>
      <w:pPr>
        <w:pStyle w:val="TextBody"/>
        <w:bidi w:val="0"/>
        <w:spacing w:before="240" w:after="0"/>
        <w:jc w:val="left"/>
        <w:rPr>
          <w:rFonts w:ascii="Times New Roman" w:hAnsi="Times New Roman"/>
          <w:sz w:val="20"/>
        </w:rPr>
      </w:pPr>
      <w:r>
        <w:rPr>
          <w:rFonts w:ascii="Times New Roman" w:hAnsi="Times New Roman"/>
          <w:b/>
          <w:sz w:val="20"/>
        </w:rPr>
        <w:t xml:space="preserve">11. </w:t>
      </w:r>
      <w:r>
        <w:rPr>
          <w:rFonts w:ascii="Times New Roman" w:hAnsi="Times New Roman"/>
          <w:b/>
          <w:sz w:val="20"/>
          <w:u w:val="single"/>
        </w:rPr>
        <w:t>Trustee Dealings With Company</w:t>
      </w:r>
      <w:r>
        <w:rPr>
          <w:rFonts w:ascii="Times New Roman" w:hAnsi="Times New Roman"/>
          <w:b/>
          <w:sz w:val="20"/>
        </w:rPr>
        <w:t>.</w:t>
      </w:r>
      <w:r>
        <w:rPr>
          <w:rFonts w:ascii="Times New Roman" w:hAnsi="Times New Roman"/>
          <w:sz w:val="20"/>
        </w:rPr>
        <w:t xml:space="preserve"> Subject to certain limitations imposed by the TIA, the Trustee under the Indenture, in its individual or any other capacity, may make loans to, accept deposits from, and perform services for the Company or its affiliates, and may otherwise deal with the Company or its affiliates, as if it were not Trustee, including owning or pledging the Securities. </w:t>
      </w:r>
    </w:p>
    <w:p>
      <w:pPr>
        <w:pStyle w:val="TextBody"/>
        <w:bidi w:val="0"/>
        <w:spacing w:before="240" w:after="0"/>
        <w:jc w:val="left"/>
        <w:rPr>
          <w:rFonts w:ascii="Times New Roman" w:hAnsi="Times New Roman"/>
          <w:sz w:val="20"/>
        </w:rPr>
      </w:pPr>
      <w:r>
        <w:rPr>
          <w:rFonts w:ascii="Times New Roman" w:hAnsi="Times New Roman"/>
          <w:b/>
          <w:sz w:val="20"/>
        </w:rPr>
        <w:t xml:space="preserve">12. </w:t>
      </w:r>
      <w:r>
        <w:rPr>
          <w:rFonts w:ascii="Times New Roman" w:hAnsi="Times New Roman"/>
          <w:b/>
          <w:sz w:val="20"/>
          <w:u w:val="single"/>
        </w:rPr>
        <w:t>No Recourse Against Others</w:t>
      </w:r>
      <w:r>
        <w:rPr>
          <w:rFonts w:ascii="Times New Roman" w:hAnsi="Times New Roman"/>
          <w:b/>
          <w:sz w:val="20"/>
        </w:rPr>
        <w:t>.</w:t>
      </w:r>
      <w:r>
        <w:rPr>
          <w:rFonts w:ascii="Times New Roman" w:hAnsi="Times New Roman"/>
          <w:sz w:val="20"/>
        </w:rPr>
        <w:t xml:space="preserve"> A director, officer, employee or shareholder, as such, of the Company shall not have any liability for any obligations of the Company under the Securities or the Indenture or for any claim based on, in respect of or by reason of, such obligations or their creation. Each Holder by accepting a Security waives and releases all such liability. The waiver and release are part of the consideration for the issue of the Securities. The waiver may not be effective to waive liabilities under the federal securities laws.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applicable denominations and multiples.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applicable denominations and multiples.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different terms apply, insert a brief summary thereof.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13. </w:t>
      </w:r>
      <w:r>
        <w:rPr>
          <w:rFonts w:ascii="Times New Roman" w:hAnsi="Times New Roman"/>
          <w:b/>
          <w:sz w:val="20"/>
          <w:u w:val="single"/>
        </w:rPr>
        <w:t>Discharge of Indenture</w:t>
      </w:r>
      <w:r>
        <w:rPr>
          <w:rFonts w:ascii="Times New Roman" w:hAnsi="Times New Roman"/>
          <w:b/>
          <w:sz w:val="20"/>
        </w:rPr>
        <w:t>.</w:t>
      </w:r>
      <w:r>
        <w:rPr>
          <w:rFonts w:ascii="Times New Roman" w:hAnsi="Times New Roman"/>
          <w:sz w:val="20"/>
        </w:rPr>
        <w:t xml:space="preserve"> The Indenture contains certain provisions pertaining to defeasance and discharge, which provisions shall for all purposes have the same effect as if set forth herein. </w:t>
      </w:r>
    </w:p>
    <w:p>
      <w:pPr>
        <w:pStyle w:val="TextBody"/>
        <w:bidi w:val="0"/>
        <w:spacing w:before="240" w:after="0"/>
        <w:jc w:val="left"/>
        <w:rPr>
          <w:rFonts w:ascii="Times New Roman" w:hAnsi="Times New Roman"/>
          <w:sz w:val="20"/>
        </w:rPr>
      </w:pPr>
      <w:r>
        <w:rPr>
          <w:rFonts w:ascii="Times New Roman" w:hAnsi="Times New Roman"/>
          <w:b/>
          <w:sz w:val="20"/>
        </w:rPr>
        <w:t xml:space="preserve">14. </w:t>
      </w:r>
      <w:r>
        <w:rPr>
          <w:rFonts w:ascii="Times New Roman" w:hAnsi="Times New Roman"/>
          <w:b/>
          <w:sz w:val="20"/>
          <w:u w:val="single"/>
        </w:rPr>
        <w:t>Authentication</w:t>
      </w:r>
      <w:r>
        <w:rPr>
          <w:rFonts w:ascii="Times New Roman" w:hAnsi="Times New Roman"/>
          <w:b/>
          <w:sz w:val="20"/>
        </w:rPr>
        <w:t>.</w:t>
      </w:r>
      <w:r>
        <w:rPr>
          <w:rFonts w:ascii="Times New Roman" w:hAnsi="Times New Roman"/>
          <w:sz w:val="20"/>
        </w:rPr>
        <w:t xml:space="preserve"> This Security shall not be valid until an authorized signatory of the Trustee signs the certificate of authentication on the other side of this Security. </w:t>
      </w:r>
    </w:p>
    <w:p>
      <w:pPr>
        <w:pStyle w:val="TextBody"/>
        <w:bidi w:val="0"/>
        <w:spacing w:before="240" w:after="0"/>
        <w:jc w:val="left"/>
        <w:rPr>
          <w:rFonts w:ascii="Times New Roman" w:hAnsi="Times New Roman"/>
          <w:sz w:val="20"/>
        </w:rPr>
      </w:pPr>
      <w:r>
        <w:rPr>
          <w:rFonts w:ascii="Times New Roman" w:hAnsi="Times New Roman"/>
          <w:b/>
          <w:sz w:val="20"/>
        </w:rPr>
        <w:t xml:space="preserve">15. </w:t>
      </w:r>
      <w:r>
        <w:rPr>
          <w:rFonts w:ascii="Times New Roman" w:hAnsi="Times New Roman"/>
          <w:b/>
          <w:sz w:val="20"/>
          <w:u w:val="single"/>
        </w:rPr>
        <w:t>Abbreviations</w:t>
      </w:r>
      <w:r>
        <w:rPr>
          <w:rFonts w:ascii="Times New Roman" w:hAnsi="Times New Roman"/>
          <w:b/>
          <w:sz w:val="20"/>
        </w:rPr>
        <w:t>.</w:t>
      </w:r>
      <w:r>
        <w:rPr>
          <w:rFonts w:ascii="Times New Roman" w:hAnsi="Times New Roman"/>
          <w:sz w:val="20"/>
        </w:rPr>
        <w:t xml:space="preserve"> Customary abbreviations may be used in the name of a Holder or an assignee, such as: TEN COM (= tenants in common), TEN ENT (= tenants by the entireties), JT TEN (= joint tenants with right of survivorship and not as tenants in common), CUST (= custodian), and U/G/M/A (= Uniform Gift to Minors Act). </w:t>
      </w:r>
    </w:p>
    <w:p>
      <w:pPr>
        <w:pStyle w:val="TextBody"/>
        <w:bidi w:val="0"/>
        <w:spacing w:before="240" w:after="0"/>
        <w:jc w:val="left"/>
        <w:rPr>
          <w:rFonts w:ascii="Times New Roman" w:hAnsi="Times New Roman"/>
          <w:sz w:val="20"/>
        </w:rPr>
      </w:pPr>
      <w:r>
        <w:rPr>
          <w:rFonts w:ascii="Times New Roman" w:hAnsi="Times New Roman"/>
          <w:b/>
          <w:sz w:val="20"/>
        </w:rPr>
        <w:t xml:space="preserve">16. </w:t>
      </w:r>
      <w:r>
        <w:rPr>
          <w:rFonts w:ascii="Times New Roman" w:hAnsi="Times New Roman"/>
          <w:b/>
          <w:sz w:val="20"/>
          <w:u w:val="single"/>
        </w:rPr>
        <w:t>GOVERNING LAW</w:t>
      </w:r>
      <w:r>
        <w:rPr>
          <w:rFonts w:ascii="Times New Roman" w:hAnsi="Times New Roman"/>
          <w:b/>
          <w:sz w:val="20"/>
        </w:rPr>
        <w:t>.</w:t>
      </w:r>
      <w:r>
        <w:rPr>
          <w:rFonts w:ascii="Times New Roman" w:hAnsi="Times New Roman"/>
          <w:sz w:val="20"/>
        </w:rPr>
        <w:t xml:space="preserve"> THIS SECURITY SHALL BE GOVERNED BY, AND CONSTRUED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b/>
          <w:sz w:val="20"/>
        </w:rPr>
        <w:t xml:space="preserve">17. </w:t>
      </w:r>
      <w:r>
        <w:rPr>
          <w:rFonts w:ascii="Times New Roman" w:hAnsi="Times New Roman"/>
          <w:b/>
          <w:sz w:val="20"/>
          <w:u w:val="single"/>
        </w:rPr>
        <w:t>CUSIP and ISIN Numbers</w:t>
      </w:r>
      <w:r>
        <w:rPr>
          <w:rFonts w:ascii="Times New Roman" w:hAnsi="Times New Roman"/>
          <w:b/>
          <w:sz w:val="20"/>
        </w:rPr>
        <w:t>.</w:t>
      </w:r>
      <w:r>
        <w:rPr>
          <w:rFonts w:ascii="Times New Roman" w:hAnsi="Times New Roman"/>
          <w:sz w:val="20"/>
        </w:rPr>
        <w:t xml:space="preserve"> Pursuant to a recommendation promulgated by the Committee on Uniform Security Identification Procedures, the Company has caused CUSIP and ISIN numbers to be printed on the Securities and has directed the Trustee to use CUSIP and ISIN numbers in notices of repurchase as a convenience to Holders. No representation is made as to the accuracy of such numbers either as printed on the Securities or as contained in any notice of repurchase and reliance may be placed only on the other identification numbers placed thereon. </w:t>
      </w:r>
    </w:p>
    <w:p>
      <w:pPr>
        <w:pStyle w:val="TextBody"/>
        <w:bidi w:val="0"/>
        <w:spacing w:before="240" w:after="0"/>
        <w:jc w:val="left"/>
        <w:rPr>
          <w:rFonts w:ascii="Times New Roman" w:hAnsi="Times New Roman"/>
          <w:sz w:val="20"/>
        </w:rPr>
      </w:pPr>
      <w:r>
        <w:rPr>
          <w:rFonts w:ascii="Times New Roman" w:hAnsi="Times New Roman"/>
          <w:b/>
          <w:sz w:val="20"/>
        </w:rPr>
        <w:t xml:space="preserve">18. </w:t>
      </w:r>
      <w:r>
        <w:rPr>
          <w:rFonts w:ascii="Times New Roman" w:hAnsi="Times New Roman"/>
          <w:b/>
          <w:sz w:val="20"/>
          <w:u w:val="single"/>
        </w:rPr>
        <w:t>Copies</w:t>
      </w:r>
      <w:r>
        <w:rPr>
          <w:rFonts w:ascii="Times New Roman" w:hAnsi="Times New Roman"/>
          <w:b/>
          <w:sz w:val="20"/>
        </w:rPr>
        <w:t>.</w:t>
      </w:r>
      <w:r>
        <w:rPr>
          <w:rFonts w:ascii="Times New Roman" w:hAnsi="Times New Roman"/>
          <w:sz w:val="20"/>
        </w:rPr>
        <w:t xml:space="preserve"> The Company will furnish to any Holder upon written request and without charge a copy of the Indenture and the applicable Authorizing Resolution or supplemental indenture. Requests may be made to: Damora Therapeutics, Inc., [ ], Attention: [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ASSIGNMENT FORM </w:t>
      </w:r>
    </w:p>
    <w:p>
      <w:pPr>
        <w:pStyle w:val="TextBody"/>
        <w:bidi w:val="0"/>
        <w:spacing w:before="240" w:after="0"/>
        <w:jc w:val="left"/>
        <w:rPr>
          <w:rFonts w:ascii="Times New Roman" w:hAnsi="Times New Roman"/>
          <w:sz w:val="20"/>
        </w:rPr>
      </w:pPr>
      <w:r>
        <w:rPr>
          <w:rFonts w:ascii="Times New Roman" w:hAnsi="Times New Roman"/>
          <w:sz w:val="20"/>
        </w:rPr>
        <w:t xml:space="preserve">If you the Holder want to assign this Security, fill in the form below: </w:t>
      </w:r>
    </w:p>
    <w:p>
      <w:pPr>
        <w:pStyle w:val="TextBody"/>
        <w:bidi w:val="0"/>
        <w:spacing w:before="240" w:after="0"/>
        <w:jc w:val="left"/>
        <w:rPr>
          <w:rFonts w:ascii="Times New Roman" w:hAnsi="Times New Roman"/>
          <w:sz w:val="20"/>
        </w:rPr>
      </w:pPr>
      <w:r>
        <w:rPr>
          <w:rFonts w:ascii="Times New Roman" w:hAnsi="Times New Roman"/>
          <w:sz w:val="20"/>
        </w:rPr>
        <w:t xml:space="preserve">I or we assign and transfer this Security to (insert assignee’s social security or tax ID number) </w:t>
      </w:r>
    </w:p>
    <w:tbl>
      <w:tblPr>
        <w:tblW w:w="2000" w:type="pct"/>
        <w:jc w:val="center"/>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center"/>
              <w:rPr/>
            </w:pPr>
            <w:r>
              <w:rPr/>
              <w:t> </w:t>
            </w:r>
          </w:p>
        </w:tc>
      </w:tr>
      <w:tr>
        <w:trPr/>
        <w:tc>
          <w:tcPr>
            <w:tcW w:w="4082" w:type="dxa"/>
            <w:tcBorders/>
          </w:tcPr>
          <w:p>
            <w:pPr>
              <w:pStyle w:val="TableContents"/>
              <w:pBdr>
                <w:bottom w:val="single" w:sz="2" w:space="1" w:color="000000"/>
              </w:pBdr>
              <w:bidi w:val="0"/>
              <w:spacing w:before="0" w:after="20"/>
              <w:jc w:val="center"/>
              <w:rPr/>
            </w:pPr>
            <w:r>
              <w:rPr/>
              <w:t> </w:t>
            </w:r>
          </w:p>
        </w:tc>
      </w:tr>
      <w:tr>
        <w:trPr/>
        <w:tc>
          <w:tcPr>
            <w:tcW w:w="4082" w:type="dxa"/>
            <w:tcBorders/>
          </w:tcPr>
          <w:p>
            <w:pPr>
              <w:pStyle w:val="TableContents"/>
              <w:pBdr>
                <w:bottom w:val="single" w:sz="2" w:space="1" w:color="000000"/>
              </w:pBdr>
              <w:bidi w:val="0"/>
              <w:spacing w:before="0" w:after="20"/>
              <w:jc w:val="center"/>
              <w:rPr/>
            </w:pPr>
            <w:r>
              <w:rPr/>
              <w:t> </w:t>
            </w:r>
          </w:p>
        </w:tc>
      </w:tr>
      <w:tr>
        <w:trPr/>
        <w:tc>
          <w:tcPr>
            <w:tcW w:w="4082" w:type="dxa"/>
            <w:tcBorders/>
          </w:tcPr>
          <w:p>
            <w:pPr>
              <w:pStyle w:val="TableContents"/>
              <w:pBdr>
                <w:bottom w:val="single" w:sz="2" w:space="1" w:color="000000"/>
              </w:pBdr>
              <w:bidi w:val="0"/>
              <w:spacing w:before="0" w:after="20"/>
              <w:jc w:val="center"/>
              <w:rPr/>
            </w:pPr>
            <w:r>
              <w:rPr/>
              <w:t> </w:t>
            </w:r>
          </w:p>
        </w:tc>
      </w:tr>
      <w:tr>
        <w:trPr/>
        <w:tc>
          <w:tcPr>
            <w:tcW w:w="4082" w:type="dxa"/>
            <w:tcBorders/>
          </w:tcPr>
          <w:p>
            <w:pPr>
              <w:pStyle w:val="TableContents"/>
              <w:bidi w:val="0"/>
              <w:spacing w:before="0" w:after="283"/>
              <w:jc w:val="center"/>
              <w:rPr/>
            </w:pPr>
            <w:r>
              <w:rPr/>
              <w:t>(Print or type assignee’s name, address, and zip code)</w:t>
            </w:r>
          </w:p>
        </w:tc>
      </w:tr>
    </w:tbl>
    <w:p>
      <w:pPr>
        <w:pStyle w:val="TextBody"/>
        <w:bidi w:val="0"/>
        <w:spacing w:before="240" w:after="0"/>
        <w:jc w:val="left"/>
        <w:rPr>
          <w:rFonts w:ascii="Times New Roman" w:hAnsi="Times New Roman"/>
          <w:sz w:val="20"/>
        </w:rPr>
      </w:pPr>
      <w:r>
        <w:rPr>
          <w:rFonts w:ascii="Times New Roman" w:hAnsi="Times New Roman"/>
          <w:sz w:val="20"/>
        </w:rPr>
        <w:t xml:space="preserve">and irrevocably appoint agent to transfer this Security on the books of the Company. The agent may substitute another to act for him.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805"/>
        <w:gridCol w:w="102"/>
        <w:gridCol w:w="408"/>
        <w:gridCol w:w="61"/>
        <w:gridCol w:w="23"/>
        <w:gridCol w:w="101"/>
        <w:gridCol w:w="4705"/>
      </w:tblGrid>
      <w:tr>
        <w:trPr/>
        <w:tc>
          <w:tcPr>
            <w:tcW w:w="480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705" w:type="dxa"/>
            <w:tcBorders/>
            <w:vAlign w:val="center"/>
          </w:tcPr>
          <w:p>
            <w:pPr>
              <w:pStyle w:val="TableContents"/>
              <w:bidi w:val="0"/>
              <w:spacing w:before="0" w:after="283"/>
              <w:jc w:val="left"/>
              <w:rPr>
                <w:sz w:val="4"/>
                <w:szCs w:val="4"/>
              </w:rPr>
            </w:pPr>
            <w:r>
              <w:rPr>
                <w:sz w:val="4"/>
                <w:szCs w:val="4"/>
              </w:rPr>
            </w:r>
          </w:p>
        </w:tc>
      </w:tr>
      <w:tr>
        <w:trPr/>
        <w:tc>
          <w:tcPr>
            <w:tcW w:w="4805" w:type="dxa"/>
            <w:tcBorders/>
          </w:tcPr>
          <w:p>
            <w:pPr>
              <w:pStyle w:val="TableContents"/>
              <w:bidi w:val="0"/>
              <w:spacing w:before="0" w:after="283"/>
              <w:jc w:val="left"/>
              <w:rPr/>
            </w:pPr>
            <w:r>
              <w:rPr/>
              <w:t>Date:</w:t>
            </w:r>
          </w:p>
        </w:tc>
        <w:tc>
          <w:tcPr>
            <w:tcW w:w="102"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05" w:type="dxa"/>
            <w:tcBorders/>
          </w:tcPr>
          <w:p>
            <w:pPr>
              <w:pStyle w:val="TableContents"/>
              <w:pBdr>
                <w:bottom w:val="single" w:sz="2" w:space="1" w:color="000000"/>
              </w:pBdr>
              <w:bidi w:val="0"/>
              <w:spacing w:before="0" w:after="20"/>
              <w:jc w:val="left"/>
              <w:rPr/>
            </w:pPr>
            <w:r>
              <w:rPr/>
              <w:t> </w:t>
            </w:r>
          </w:p>
        </w:tc>
      </w:tr>
      <w:tr>
        <w:trPr/>
        <w:tc>
          <w:tcPr>
            <w:tcW w:w="480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05" w:type="dxa"/>
            <w:tcBorders/>
          </w:tcPr>
          <w:p>
            <w:pPr>
              <w:pStyle w:val="TableContents"/>
              <w:bidi w:val="0"/>
              <w:spacing w:before="0" w:after="0"/>
              <w:jc w:val="left"/>
              <w:rPr>
                <w:rFonts w:ascii="Times New Roman" w:hAnsi="Times New Roman"/>
                <w:sz w:val="20"/>
              </w:rPr>
            </w:pPr>
            <w:r>
              <w:rPr>
                <w:rFonts w:ascii="Times New Roman" w:hAnsi="Times New Roman"/>
                <w:sz w:val="20"/>
              </w:rPr>
              <w:t>Your signature</w:t>
            </w:r>
          </w:p>
          <w:p>
            <w:pPr>
              <w:pStyle w:val="TableContents"/>
              <w:bidi w:val="0"/>
              <w:spacing w:before="0" w:after="20"/>
              <w:jc w:val="left"/>
              <w:rPr>
                <w:rFonts w:ascii="Times New Roman" w:hAnsi="Times New Roman"/>
                <w:sz w:val="20"/>
              </w:rPr>
            </w:pPr>
            <w:r>
              <w:rPr>
                <w:rFonts w:ascii="Times New Roman" w:hAnsi="Times New Roman"/>
                <w:sz w:val="20"/>
              </w:rPr>
              <w:t>(Sign exactly as your name appears on the other side of this Security)</w:t>
            </w:r>
          </w:p>
        </w:tc>
      </w:tr>
      <w:tr>
        <w:trPr>
          <w:trHeight w:val="240" w:hRule="atLeast"/>
        </w:trPr>
        <w:tc>
          <w:tcPr>
            <w:tcW w:w="4805" w:type="dxa"/>
            <w:tcBorders/>
            <w:vAlign w:val="center"/>
          </w:tcPr>
          <w:p>
            <w:pPr>
              <w:pStyle w:val="TableContents"/>
              <w:bidi w:val="0"/>
              <w:spacing w:before="0" w:after="283"/>
              <w:jc w:val="left"/>
              <w:rPr>
                <w:sz w:val="4"/>
                <w:szCs w:val="4"/>
              </w:rPr>
            </w:pPr>
            <w:r>
              <w:rPr>
                <w:sz w:val="4"/>
                <w:szCs w:val="4"/>
              </w:rPr>
            </w:r>
          </w:p>
        </w:tc>
        <w:tc>
          <w:tcPr>
            <w:tcW w:w="510" w:type="dxa"/>
            <w:gridSpan w:val="2"/>
            <w:tcBorders/>
            <w:vAlign w:val="center"/>
          </w:tcPr>
          <w:p>
            <w:pPr>
              <w:pStyle w:val="TableContents"/>
              <w:bidi w:val="0"/>
              <w:spacing w:before="0" w:after="283"/>
              <w:jc w:val="left"/>
              <w:rPr>
                <w:sz w:val="4"/>
                <w:szCs w:val="4"/>
              </w:rPr>
            </w:pPr>
            <w:r>
              <w:rPr>
                <w:sz w:val="4"/>
                <w:szCs w:val="4"/>
              </w:rPr>
            </w:r>
          </w:p>
        </w:tc>
        <w:tc>
          <w:tcPr>
            <w:tcW w:w="84" w:type="dxa"/>
            <w:gridSpan w:val="2"/>
            <w:tcBorders/>
            <w:vAlign w:val="center"/>
          </w:tcPr>
          <w:p>
            <w:pPr>
              <w:pStyle w:val="TableContents"/>
              <w:bidi w:val="0"/>
              <w:spacing w:before="0" w:after="283"/>
              <w:jc w:val="left"/>
              <w:rPr>
                <w:sz w:val="4"/>
                <w:szCs w:val="4"/>
              </w:rPr>
            </w:pPr>
            <w:r>
              <w:rPr>
                <w:sz w:val="4"/>
                <w:szCs w:val="4"/>
              </w:rPr>
            </w:r>
          </w:p>
        </w:tc>
        <w:tc>
          <w:tcPr>
            <w:tcW w:w="4806" w:type="dxa"/>
            <w:gridSpan w:val="2"/>
            <w:tcBorders/>
            <w:vAlign w:val="center"/>
          </w:tcPr>
          <w:p>
            <w:pPr>
              <w:pStyle w:val="TableContents"/>
              <w:bidi w:val="0"/>
              <w:spacing w:before="0" w:after="283"/>
              <w:jc w:val="left"/>
              <w:rPr>
                <w:sz w:val="4"/>
                <w:szCs w:val="4"/>
              </w:rPr>
            </w:pPr>
            <w:r>
              <w:rPr>
                <w:sz w:val="4"/>
                <w:szCs w:val="4"/>
              </w:rPr>
            </w:r>
          </w:p>
        </w:tc>
      </w:tr>
      <w:tr>
        <w:trPr/>
        <w:tc>
          <w:tcPr>
            <w:tcW w:w="4805" w:type="dxa"/>
            <w:tcBorders/>
          </w:tcPr>
          <w:p>
            <w:pPr>
              <w:pStyle w:val="TableContents"/>
              <w:bidi w:val="0"/>
              <w:spacing w:before="0" w:after="283"/>
              <w:jc w:val="left"/>
              <w:rPr/>
            </w:pPr>
            <w:r>
              <w:rPr/>
              <w:t>Signature Guarantee:</w:t>
            </w:r>
          </w:p>
        </w:tc>
        <w:tc>
          <w:tcPr>
            <w:tcW w:w="102"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0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p>
    <w:p>
      <w:pPr>
        <w:pStyle w:val="TextBody"/>
        <w:bidi w:val="0"/>
        <w:spacing w:before="0" w:after="0"/>
        <w:jc w:val="right"/>
        <w:rPr>
          <w:rFonts w:ascii="Times New Roman" w:hAnsi="Times New Roman"/>
          <w:b/>
          <w:sz w:val="20"/>
        </w:rPr>
      </w:pPr>
      <w:bookmarkStart w:id="32" w:name="d161734dex51.htm"/>
      <w:bookmarkStart w:id="33" w:name="ksd161734dex51"/>
      <w:bookmarkEnd w:id="32"/>
      <w:bookmarkEnd w:id="33"/>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345565" cy="34734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43"/>
                    <a:stretch>
                      <a:fillRect/>
                    </a:stretch>
                  </pic:blipFill>
                  <pic:spPr bwMode="auto">
                    <a:xfrm>
                      <a:off x="0" y="0"/>
                      <a:ext cx="1345565" cy="34734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10 August 2026 </w:t>
      </w:r>
    </w:p>
    <w:p>
      <w:pPr>
        <w:pStyle w:val="TextBody"/>
        <w:bidi w:val="0"/>
        <w:spacing w:before="240" w:after="0"/>
        <w:jc w:val="left"/>
        <w:rPr>
          <w:rFonts w:ascii="Times New Roman" w:hAnsi="Times New Roman"/>
          <w:sz w:val="20"/>
        </w:rPr>
      </w:pPr>
      <w:r>
        <w:rPr>
          <w:rFonts w:ascii="Times New Roman" w:hAnsi="Times New Roman"/>
          <w:sz w:val="20"/>
        </w:rPr>
        <w:t xml:space="preserve">Damora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c/o Walkers Corporate Limited </w:t>
      </w:r>
    </w:p>
    <w:p>
      <w:pPr>
        <w:pStyle w:val="TextBody"/>
        <w:bidi w:val="0"/>
        <w:spacing w:before="0" w:after="0"/>
        <w:jc w:val="left"/>
        <w:rPr>
          <w:rFonts w:ascii="Times New Roman" w:hAnsi="Times New Roman"/>
          <w:sz w:val="20"/>
        </w:rPr>
      </w:pPr>
      <w:r>
        <w:rPr>
          <w:rFonts w:ascii="Times New Roman" w:hAnsi="Times New Roman"/>
          <w:sz w:val="20"/>
        </w:rPr>
        <w:t xml:space="preserve">190 Elgin Avenue </w:t>
      </w:r>
    </w:p>
    <w:p>
      <w:pPr>
        <w:pStyle w:val="TextBody"/>
        <w:bidi w:val="0"/>
        <w:spacing w:before="0" w:after="0"/>
        <w:jc w:val="left"/>
        <w:rPr>
          <w:rFonts w:ascii="Times New Roman" w:hAnsi="Times New Roman"/>
          <w:sz w:val="20"/>
        </w:rPr>
      </w:pPr>
      <w:r>
        <w:rPr>
          <w:rFonts w:ascii="Times New Roman" w:hAnsi="Times New Roman"/>
          <w:sz w:val="20"/>
        </w:rPr>
        <w:t xml:space="preserve">George Town </w:t>
      </w:r>
    </w:p>
    <w:p>
      <w:pPr>
        <w:pStyle w:val="TextBody"/>
        <w:bidi w:val="0"/>
        <w:spacing w:before="0" w:after="0"/>
        <w:jc w:val="left"/>
        <w:rPr>
          <w:rFonts w:ascii="Times New Roman" w:hAnsi="Times New Roman"/>
          <w:sz w:val="20"/>
        </w:rPr>
      </w:pPr>
      <w:r>
        <w:rPr>
          <w:rFonts w:ascii="Times New Roman" w:hAnsi="Times New Roman"/>
          <w:sz w:val="20"/>
        </w:rPr>
        <w:t xml:space="preserve">Grand Cayman KY1-9008 </w:t>
      </w:r>
    </w:p>
    <w:p>
      <w:pPr>
        <w:pStyle w:val="TextBody"/>
        <w:bidi w:val="0"/>
        <w:spacing w:before="0" w:after="0"/>
        <w:jc w:val="left"/>
        <w:rPr>
          <w:rFonts w:ascii="Times New Roman" w:hAnsi="Times New Roman"/>
          <w:sz w:val="20"/>
        </w:rPr>
      </w:pPr>
      <w:r>
        <w:rPr>
          <w:rFonts w:ascii="Times New Roman" w:hAnsi="Times New Roman"/>
          <w:sz w:val="20"/>
        </w:rPr>
        <w:t xml:space="preserve">Cayman Islands </w:t>
      </w:r>
    </w:p>
    <w:p>
      <w:pPr>
        <w:pStyle w:val="TextBody"/>
        <w:bidi w:val="0"/>
        <w:spacing w:before="240" w:after="0"/>
        <w:jc w:val="left"/>
        <w:rPr>
          <w:rFonts w:ascii="Times New Roman" w:hAnsi="Times New Roman"/>
          <w:sz w:val="20"/>
        </w:rPr>
      </w:pPr>
      <w:r>
        <w:rPr>
          <w:rFonts w:ascii="Times New Roman" w:hAnsi="Times New Roman"/>
          <w:sz w:val="20"/>
        </w:rPr>
        <w:t xml:space="preserve">Dear Ladies and Gentlemen </w:t>
      </w:r>
    </w:p>
    <w:p>
      <w:pPr>
        <w:pStyle w:val="TextBody"/>
        <w:bidi w:val="0"/>
        <w:spacing w:before="120" w:after="0"/>
        <w:jc w:val="left"/>
        <w:rPr>
          <w:rFonts w:ascii="Times New Roman" w:hAnsi="Times New Roman"/>
          <w:b/>
          <w:sz w:val="20"/>
        </w:rPr>
      </w:pPr>
      <w:r>
        <w:rPr>
          <w:rFonts w:ascii="Times New Roman" w:hAnsi="Times New Roman"/>
          <w:b/>
          <w:sz w:val="20"/>
        </w:rPr>
        <w:t xml:space="preserve">DAMORA THERAPEUTICS, INC. </w:t>
      </w:r>
    </w:p>
    <w:p>
      <w:pPr>
        <w:pStyle w:val="TextBody"/>
        <w:bidi w:val="0"/>
        <w:spacing w:before="120" w:after="0"/>
        <w:jc w:val="left"/>
        <w:rPr>
          <w:rFonts w:ascii="Times New Roman" w:hAnsi="Times New Roman"/>
          <w:sz w:val="20"/>
        </w:rPr>
      </w:pPr>
      <w:r>
        <w:rPr>
          <w:rFonts w:ascii="Times New Roman" w:hAnsi="Times New Roman"/>
          <w:sz w:val="20"/>
        </w:rPr>
        <w:t>We have acted as Cayman Islands legal advisers to Damora Therapeutics, Inc. (the “</w:t>
      </w:r>
      <w:r>
        <w:rPr>
          <w:rFonts w:ascii="Times New Roman" w:hAnsi="Times New Roman"/>
          <w:b/>
          <w:sz w:val="20"/>
        </w:rPr>
        <w:t>Company</w:t>
      </w:r>
      <w:r>
        <w:rPr>
          <w:rFonts w:ascii="Times New Roman" w:hAnsi="Times New Roman"/>
          <w:sz w:val="20"/>
        </w:rPr>
        <w:t>”), which, prior to its registration by way of continuation as an exempted company limited by shares under the Companies Act (as amended) of the Cayman Islands (the “</w:t>
      </w:r>
      <w:r>
        <w:rPr>
          <w:rFonts w:ascii="Times New Roman" w:hAnsi="Times New Roman"/>
          <w:b/>
          <w:sz w:val="20"/>
        </w:rPr>
        <w:t>Companies Act</w:t>
      </w:r>
      <w:r>
        <w:rPr>
          <w:rFonts w:ascii="Times New Roman" w:hAnsi="Times New Roman"/>
          <w:sz w:val="20"/>
        </w:rPr>
        <w:t>”) on 16 July 2026 (the “</w:t>
      </w:r>
      <w:r>
        <w:rPr>
          <w:rFonts w:ascii="Times New Roman" w:hAnsi="Times New Roman"/>
          <w:b/>
          <w:sz w:val="20"/>
        </w:rPr>
        <w:t>Redomestication</w:t>
      </w:r>
      <w:r>
        <w:rPr>
          <w:rFonts w:ascii="Times New Roman" w:hAnsi="Times New Roman"/>
          <w:sz w:val="20"/>
        </w:rPr>
        <w:t>”), was a corporation incorporated under the laws of the State of Delaware (the “</w:t>
      </w:r>
      <w:r>
        <w:rPr>
          <w:rFonts w:ascii="Times New Roman" w:hAnsi="Times New Roman"/>
          <w:b/>
          <w:sz w:val="20"/>
        </w:rPr>
        <w:t>Prior Jurisdiction</w:t>
      </w:r>
      <w:r>
        <w:rPr>
          <w:rFonts w:ascii="Times New Roman" w:hAnsi="Times New Roman"/>
          <w:sz w:val="20"/>
        </w:rPr>
        <w:t>”). We have been asked to provide this legal opinion to you with regards to the laws of the Cayman Islands in connection with the registration by the Company under the United States Securities Act of 1933, as amended (the “</w:t>
      </w:r>
      <w:r>
        <w:rPr>
          <w:rFonts w:ascii="Times New Roman" w:hAnsi="Times New Roman"/>
          <w:b/>
          <w:sz w:val="20"/>
        </w:rPr>
        <w:t>Securities Act</w:t>
      </w:r>
      <w:r>
        <w:rPr>
          <w:rFonts w:ascii="Times New Roman" w:hAnsi="Times New Roman"/>
          <w:sz w:val="20"/>
        </w:rPr>
        <w:t>”) and pursuant to the terms of the Registration Statement (as defined in Schedule 1), of the following securities (the “</w:t>
      </w:r>
      <w:r>
        <w:rPr>
          <w:rFonts w:ascii="Times New Roman" w:hAnsi="Times New Roman"/>
          <w:b/>
          <w:sz w:val="20"/>
        </w:rPr>
        <w:t>Securities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ordinary shares with a nominal value of US$0.00001 per share in the capital of the Company (the “</w:t>
            </w:r>
            <w:r>
              <w:rPr>
                <w:rFonts w:ascii="Times New Roman" w:hAnsi="Times New Roman"/>
                <w:b/>
                <w:sz w:val="20"/>
              </w:rPr>
              <w:t>Ordinary Shares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preferred shares with a nominal value of US$0.00001 per share in the capital of the Company (the “</w:t>
            </w:r>
            <w:r>
              <w:rPr>
                <w:rFonts w:ascii="Times New Roman" w:hAnsi="Times New Roman"/>
                <w:b/>
                <w:sz w:val="20"/>
              </w:rPr>
              <w:t>Preferred Shares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warrants to purchase Ordinary Shares, Preferred Shares or Debt Securities (defined below) (the “</w:t>
            </w:r>
            <w:r>
              <w:rPr>
                <w:rFonts w:ascii="Times New Roman" w:hAnsi="Times New Roman"/>
                <w:b/>
                <w:sz w:val="20"/>
              </w:rPr>
              <w:t>Warrants</w:t>
            </w:r>
            <w:r>
              <w:rPr>
                <w:rFonts w:ascii="Times New Roman" w:hAnsi="Times New Roman"/>
                <w:sz w:val="20"/>
              </w:rPr>
              <w:t>”) issuable pursuant to the terms of a warrant agreement (the “</w:t>
            </w:r>
            <w:r>
              <w:rPr>
                <w:rFonts w:ascii="Times New Roman" w:hAnsi="Times New Roman"/>
                <w:b/>
                <w:sz w:val="20"/>
              </w:rPr>
              <w:t>Warrant Agreement</w:t>
            </w:r>
            <w:r>
              <w:rPr>
                <w:rFonts w:ascii="Times New Roman" w:hAnsi="Times New Roman"/>
                <w:sz w:val="20"/>
              </w:rPr>
              <w:t>”), a warrant certificate (the “</w:t>
            </w:r>
            <w:r>
              <w:rPr>
                <w:rFonts w:ascii="Times New Roman" w:hAnsi="Times New Roman"/>
                <w:b/>
                <w:sz w:val="20"/>
              </w:rPr>
              <w:t>Warrant Certificate</w:t>
            </w:r>
            <w:r>
              <w:rPr>
                <w:rFonts w:ascii="Times New Roman" w:hAnsi="Times New Roman"/>
                <w:sz w:val="20"/>
              </w:rPr>
              <w:t>”) and such other document or agreement associated therewith that may be required in order to issue the Warrants and, together with the Warrant Agreement and the Warrant Certificate, the “</w:t>
            </w:r>
            <w:r>
              <w:rPr>
                <w:rFonts w:ascii="Times New Roman" w:hAnsi="Times New Roman"/>
                <w:b/>
                <w:sz w:val="20"/>
              </w:rPr>
              <w:t>Warrant Documents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units consisting of any combination of Ordinary Shares, Preferred Shares, Debt Securities or Warrants in one or more series (the “</w:t>
            </w:r>
            <w:r>
              <w:rPr>
                <w:rFonts w:ascii="Times New Roman" w:hAnsi="Times New Roman"/>
                <w:b/>
                <w:sz w:val="20"/>
              </w:rPr>
              <w:t>Units</w:t>
            </w:r>
            <w:r>
              <w:rPr>
                <w:rFonts w:ascii="Times New Roman" w:hAnsi="Times New Roman"/>
                <w:sz w:val="20"/>
              </w:rPr>
              <w:t>”) issuable pursuant to the terms of a unit agreement (the “</w:t>
            </w:r>
            <w:r>
              <w:rPr>
                <w:rFonts w:ascii="Times New Roman" w:hAnsi="Times New Roman"/>
                <w:b/>
                <w:sz w:val="20"/>
              </w:rPr>
              <w:t>Unit Agreement</w:t>
            </w:r>
            <w:r>
              <w:rPr>
                <w:rFonts w:ascii="Times New Roman" w:hAnsi="Times New Roman"/>
                <w:sz w:val="20"/>
              </w:rPr>
              <w:t>”), a unit certificate (the “</w:t>
            </w:r>
            <w:r>
              <w:rPr>
                <w:rFonts w:ascii="Times New Roman" w:hAnsi="Times New Roman"/>
                <w:b/>
                <w:sz w:val="20"/>
              </w:rPr>
              <w:t>Unit Certificate</w:t>
            </w:r>
            <w:r>
              <w:rPr>
                <w:rFonts w:ascii="Times New Roman" w:hAnsi="Times New Roman"/>
                <w:sz w:val="20"/>
              </w:rPr>
              <w:t>”) and such other document or agreement associated therewith that may be required in order to issue the Units and, together with the Unit Agreement and the Unit Certificate, the “</w:t>
            </w:r>
            <w:r>
              <w:rPr>
                <w:rFonts w:ascii="Times New Roman" w:hAnsi="Times New Roman"/>
                <w:b/>
                <w:sz w:val="20"/>
              </w:rPr>
              <w:t>Unit Documents</w:t>
            </w:r>
            <w:r>
              <w:rPr>
                <w:rFonts w:ascii="Times New Roman" w:hAnsi="Times New Roman"/>
                <w:sz w:val="20"/>
              </w:rPr>
              <w:t xml:space="preserve">”; and </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sz w:val="20"/>
        </w:rPr>
        <w:t xml:space="preserve">Walkers </w:t>
      </w:r>
    </w:p>
    <w:p>
      <w:pPr>
        <w:pStyle w:val="TextBody"/>
        <w:bidi w:val="0"/>
        <w:spacing w:before="120" w:after="0"/>
        <w:jc w:val="right"/>
        <w:rPr>
          <w:rFonts w:ascii="Times New Roman" w:hAnsi="Times New Roman"/>
          <w:sz w:val="20"/>
        </w:rPr>
      </w:pPr>
      <w:r>
        <w:rPr>
          <w:rFonts w:ascii="Times New Roman" w:hAnsi="Times New Roman"/>
          <w:sz w:val="20"/>
        </w:rPr>
        <w:t xml:space="preserve">190 Elgin Avenue, George Town </w:t>
      </w:r>
    </w:p>
    <w:p>
      <w:pPr>
        <w:pStyle w:val="TextBody"/>
        <w:bidi w:val="0"/>
        <w:spacing w:before="120" w:after="0"/>
        <w:jc w:val="right"/>
        <w:rPr>
          <w:rFonts w:ascii="Times New Roman" w:hAnsi="Times New Roman"/>
          <w:sz w:val="20"/>
        </w:rPr>
      </w:pPr>
      <w:r>
        <w:rPr>
          <w:rFonts w:ascii="Times New Roman" w:hAnsi="Times New Roman"/>
          <w:sz w:val="20"/>
        </w:rPr>
        <w:t xml:space="preserve">Grand Cayman KY1-9001, Cayman Islands </w:t>
      </w:r>
    </w:p>
    <w:p>
      <w:pPr>
        <w:pStyle w:val="TextBody"/>
        <w:bidi w:val="0"/>
        <w:spacing w:before="120" w:after="0"/>
        <w:jc w:val="right"/>
        <w:rPr>
          <w:rFonts w:ascii="Times New Roman" w:hAnsi="Times New Roman"/>
          <w:sz w:val="20"/>
        </w:rPr>
      </w:pPr>
      <w:r>
        <w:rPr>
          <w:rFonts w:ascii="Times New Roman" w:hAnsi="Times New Roman"/>
          <w:b/>
          <w:sz w:val="20"/>
        </w:rPr>
        <w:t>T</w:t>
      </w:r>
      <w:r>
        <w:rPr>
          <w:rFonts w:ascii="Times New Roman" w:hAnsi="Times New Roman"/>
          <w:sz w:val="20"/>
        </w:rPr>
        <w:t xml:space="preserve"> +1 345 949 0100 </w:t>
      </w:r>
      <w:r>
        <w:rPr>
          <w:rFonts w:ascii="Times New Roman" w:hAnsi="Times New Roman"/>
          <w:b/>
          <w:sz w:val="20"/>
        </w:rPr>
        <w:t>F</w:t>
      </w:r>
      <w:r>
        <w:rPr>
          <w:rFonts w:ascii="Times New Roman" w:hAnsi="Times New Roman"/>
          <w:sz w:val="20"/>
        </w:rPr>
        <w:t xml:space="preserve"> +1 345 949 7886 www.walkersglobal.com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345565" cy="34734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44"/>
                    <a:stretch>
                      <a:fillRect/>
                    </a:stretch>
                  </pic:blipFill>
                  <pic:spPr bwMode="auto">
                    <a:xfrm>
                      <a:off x="0" y="0"/>
                      <a:ext cx="1345565" cy="347345"/>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debt securities of the Company (the “</w:t>
            </w:r>
            <w:r>
              <w:rPr>
                <w:rFonts w:ascii="Times New Roman" w:hAnsi="Times New Roman"/>
                <w:b/>
                <w:sz w:val="20"/>
              </w:rPr>
              <w:t>Debt Securities</w:t>
            </w:r>
            <w:r>
              <w:rPr>
                <w:rFonts w:ascii="Times New Roman" w:hAnsi="Times New Roman"/>
                <w:sz w:val="20"/>
              </w:rPr>
              <w:t>”), to be issued under an indenture to be entered into by the Company and the trustee, substantially in the form attached as an exhibit to the Registration Statement (as defined in Schedule 1), as such Indenture Document (as defined in Schedule 1) may be supplemented (any such supplemental document, together, the “</w:t>
            </w:r>
            <w:r>
              <w:rPr>
                <w:rFonts w:ascii="Times New Roman" w:hAnsi="Times New Roman"/>
                <w:b/>
                <w:sz w:val="20"/>
              </w:rPr>
              <w:t>Supplement</w:t>
            </w:r>
            <w:r>
              <w:rPr>
                <w:rFonts w:ascii="Times New Roman" w:hAnsi="Times New Roman"/>
                <w:sz w:val="20"/>
              </w:rPr>
              <w:t>”), by a supplemental indenture, officers’ certificate, resolution of the board of directors of the Company (the “</w:t>
            </w:r>
            <w:r>
              <w:rPr>
                <w:rFonts w:ascii="Times New Roman" w:hAnsi="Times New Roman"/>
                <w:b/>
                <w:sz w:val="20"/>
              </w:rPr>
              <w:t>Board</w:t>
            </w:r>
            <w:r>
              <w:rPr>
                <w:rFonts w:ascii="Times New Roman" w:hAnsi="Times New Roman"/>
                <w:sz w:val="20"/>
              </w:rPr>
              <w:t xml:space="preserve">”) or other writing thereunder establishing the form and terms of such debt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purposes of giving this opinion, we have examined and relied upon the originals or copies of the documents listed in Schedule 1. </w:t>
      </w:r>
    </w:p>
    <w:p>
      <w:pPr>
        <w:pStyle w:val="TextBody"/>
        <w:bidi w:val="0"/>
        <w:spacing w:before="240" w:after="0"/>
        <w:jc w:val="left"/>
        <w:rPr>
          <w:rFonts w:ascii="Times New Roman" w:hAnsi="Times New Roman"/>
          <w:sz w:val="20"/>
        </w:rPr>
      </w:pPr>
      <w:r>
        <w:rPr>
          <w:rFonts w:ascii="Times New Roman" w:hAnsi="Times New Roman"/>
          <w:sz w:val="20"/>
        </w:rPr>
        <w:t xml:space="preserve">We are Cayman Islands Attorneys at Law and express no opinion as to any laws other than the laws of the Cayman Islands in force and as interpreted at the date of this opinion. We have not, for the purposes of this opinion, made any investigation of the laws, rules or regulations of any other jurisdiction. Except as explicitly stated herein, we express no opinion in relation to any representation or warranty contained in the Documents nor upon matters of fact or the commercial terms of the transactions contemplated by the Documents. </w:t>
      </w:r>
    </w:p>
    <w:p>
      <w:pPr>
        <w:pStyle w:val="TextBody"/>
        <w:bidi w:val="0"/>
        <w:spacing w:before="240" w:after="0"/>
        <w:jc w:val="left"/>
        <w:rPr>
          <w:rFonts w:ascii="Times New Roman" w:hAnsi="Times New Roman"/>
          <w:sz w:val="20"/>
        </w:rPr>
      </w:pPr>
      <w:r>
        <w:rPr>
          <w:rFonts w:ascii="Times New Roman" w:hAnsi="Times New Roman"/>
          <w:sz w:val="20"/>
        </w:rPr>
        <w:t xml:space="preserve">Based upon the foregoing examinations and the assumptions and qualifications set out below and having regard to legal considerations which we consider relevant, and under the laws of the Cayman Islands, we give the following opinion in relation to the matters set out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The Company is an exempted company registered by way of continuation with limited liability, validly existing under the laws of the Cayman Islands and in good standing with the Registrar of Companies in the Cayman Islands (the “</w:t>
            </w:r>
            <w:r>
              <w:rPr>
                <w:rFonts w:ascii="Times New Roman" w:hAnsi="Times New Roman"/>
                <w:b/>
                <w:sz w:val="20"/>
              </w:rPr>
              <w:t>Registrar</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the Ordinary Shares and the Preferred Shares: when (a) the Board has taken all necessary corporate action to approve the issuance thereof, the terms of the offering thereof and related matters; (b) the provisions of the applicable definitive purchase, underwriting or similar agreement approved by the Board have been satisfied and payment of the consideration specified therein (being not less than their par value) has been made; and (c) the name of the registered owner thereof has been entered in the Register of Members of the Company confirming that such shares have been issued credited as fully paid, then the Ordinary Shares and/or the Preferred Shares (as applicable) will have been duly authorised and validly issued, fully paid and non-assessable (meaning that no additional sums may be levied on the holder thereof in respect of the shares by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each issue of Debt Securities pursuant to the relevant Indenture Document and Supplement, when: (a) the Board has taken all necessary corporate action to approve the issuance thereof, the terms of the offering thereof and related matters and the execution, delivery and performance of any Supplement; and (b) such Debt Securities issued thereunder have been duly executed and authenticated, and all other preconditions to the issuance of the Debt Securities have been satisfied or duly waived on behalf of the Company in the manner set forth in the relevant Indenture Document and Supplement relating to such issue of Debt Securities and delivered against due payment therefor pursuant to, and in accordance with, the terms of the Registration Statement and any relevant prospectus supplement (as the case may be), such Debt Securities issued pursuant to the relevant Indenture Document and Supplement will have been duly executed and issued. </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sz w:val="20"/>
        </w:rPr>
        <w:t xml:space="preserve">Walkers </w:t>
      </w:r>
    </w:p>
    <w:p>
      <w:pPr>
        <w:pStyle w:val="TextBody"/>
        <w:bidi w:val="0"/>
        <w:spacing w:before="120" w:after="0"/>
        <w:jc w:val="right"/>
        <w:rPr>
          <w:rFonts w:ascii="Times New Roman" w:hAnsi="Times New Roman"/>
          <w:sz w:val="20"/>
        </w:rPr>
      </w:pPr>
      <w:r>
        <w:rPr>
          <w:rFonts w:ascii="Times New Roman" w:hAnsi="Times New Roman"/>
          <w:sz w:val="20"/>
        </w:rPr>
        <w:t xml:space="preserve">190 Elgin Avenue, George Town </w:t>
      </w:r>
    </w:p>
    <w:p>
      <w:pPr>
        <w:pStyle w:val="TextBody"/>
        <w:bidi w:val="0"/>
        <w:spacing w:before="120" w:after="0"/>
        <w:jc w:val="right"/>
        <w:rPr>
          <w:rFonts w:ascii="Times New Roman" w:hAnsi="Times New Roman"/>
          <w:sz w:val="20"/>
        </w:rPr>
      </w:pPr>
      <w:r>
        <w:rPr>
          <w:rFonts w:ascii="Times New Roman" w:hAnsi="Times New Roman"/>
          <w:sz w:val="20"/>
        </w:rPr>
        <w:t xml:space="preserve">Grand Cayman KY1-9001, Cayman Islands </w:t>
      </w:r>
    </w:p>
    <w:p>
      <w:pPr>
        <w:pStyle w:val="TextBody"/>
        <w:bidi w:val="0"/>
        <w:spacing w:before="120" w:after="0"/>
        <w:jc w:val="right"/>
        <w:rPr>
          <w:rFonts w:ascii="Times New Roman" w:hAnsi="Times New Roman"/>
          <w:sz w:val="20"/>
        </w:rPr>
      </w:pPr>
      <w:r>
        <w:rPr>
          <w:rFonts w:ascii="Times New Roman" w:hAnsi="Times New Roman"/>
          <w:b/>
          <w:sz w:val="20"/>
        </w:rPr>
        <w:t>T</w:t>
      </w:r>
      <w:r>
        <w:rPr>
          <w:rFonts w:ascii="Times New Roman" w:hAnsi="Times New Roman"/>
          <w:sz w:val="20"/>
        </w:rPr>
        <w:t xml:space="preserve"> +1 345 949 0100 </w:t>
      </w:r>
      <w:r>
        <w:rPr>
          <w:rFonts w:ascii="Times New Roman" w:hAnsi="Times New Roman"/>
          <w:b/>
          <w:sz w:val="20"/>
        </w:rPr>
        <w:t>F</w:t>
      </w:r>
      <w:r>
        <w:rPr>
          <w:rFonts w:ascii="Times New Roman" w:hAnsi="Times New Roman"/>
          <w:sz w:val="20"/>
        </w:rPr>
        <w:t xml:space="preserve"> +1 345 949 7886 www.walkersglobal.com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345565" cy="34734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45"/>
                    <a:stretch>
                      <a:fillRect/>
                    </a:stretch>
                  </pic:blipFill>
                  <pic:spPr bwMode="auto">
                    <a:xfrm>
                      <a:off x="0" y="0"/>
                      <a:ext cx="1345565" cy="347345"/>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each issue of Warrants pursuant to the relevant Warrant Documents, when: (a) the Board has taken all necessary corporate action to approve the issuance thereof, the terms of the offering thereof and related matters and the execution, delivery and performance of any of the Warrant Documents; and (b) such Warrants issued thereunder have been duly authorised and validly executed by the Company and any other parties thereto, and all other preconditions to the issuance of the Warrants (including without limitation the execution, registration and delivery in accordance with the terms of the relevant Warrant Documents of any Warrant Certificates) have been satisfied or duly waived on behalf of the Company in the manner set forth in the relevant Warrant Documents relating to such issue of Warrants and delivered against due payment therefor pursuant to, and in accordance with, the terms of the Registration Statement and any relevant prospectus supplement (as the case may be), such Warrants issued pursuant to the relevant Warrant Documents will be legal, valid and binding obligations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each issue of Units pursuant to the relevant Unit Documents, when: (a) the Board has taken all necessary corporate action to approve the issuance thereof, the terms of the offering thereof and related matters and the execution, delivery and performance of any of the Unit Documents; and (b) such Units issued thereunder have been duly authorised and validly executed by the Company and any other parties thereto, and all other preconditions to the issuance of the Units (including without limitation the execution, registration and delivery in accordance with the terms of the relevant Unit Documents of any Unit Certificates) have been satisfied or duly waived on behalf of the Company in the manner set forth in the relevant Unit Documents relating to such issue of Units and delivered against due payment therefor pursuant to, and in accordance with, the terms of the Registration Statement and any relevant prospectus supplement (as the case may be), such Units issued pursuant to the relevant Unit Documents will be legal, valid and binding obligations of the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opinion is given based on the following assumptions.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1.</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necessary actions were taken under the applicable U.S. laws to authorise and permit the Redomestication, and any and all consents, approvals and authorisations from the applicable U.S. governmental and regulatory authorities required to authorise and permit the Redomestication were obtained.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laws of the Prior Jurisdiction permitted the transfer out of the Company in the manner provided in Part 12 of the Companies Act and have been fully complied with.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provision of any law or regulation applicable in the Prior Jurisdiction (or elsewhere) was breached by virtue of the transfer by way of continuation of the Company to the Cayman Islands.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4.</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originals of all documents examined in connection with this opinion are authentic. The signatures, initials and seals on the Documents (as defined in Schedule 1) are genuine and are those of a person or persons given power to execute the Documents under the Resolutions (as defined in Schedule 1). All documents purporting to be sealed have been so sealed. All copies are complete and conform to their originals. The Documents conform in every material respect to the latest drafts of the same produced to us and, where provided in successive drafts, have been marked up to indicate all changes to such Documents. </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sz w:val="20"/>
        </w:rPr>
        <w:t xml:space="preserve">Walkers </w:t>
      </w:r>
    </w:p>
    <w:p>
      <w:pPr>
        <w:pStyle w:val="TextBody"/>
        <w:bidi w:val="0"/>
        <w:spacing w:before="120" w:after="0"/>
        <w:jc w:val="right"/>
        <w:rPr>
          <w:rFonts w:ascii="Times New Roman" w:hAnsi="Times New Roman"/>
          <w:sz w:val="20"/>
        </w:rPr>
      </w:pPr>
      <w:r>
        <w:rPr>
          <w:rFonts w:ascii="Times New Roman" w:hAnsi="Times New Roman"/>
          <w:sz w:val="20"/>
        </w:rPr>
        <w:t xml:space="preserve">190 Elgin Avenue, George Town </w:t>
      </w:r>
    </w:p>
    <w:p>
      <w:pPr>
        <w:pStyle w:val="TextBody"/>
        <w:bidi w:val="0"/>
        <w:spacing w:before="120" w:after="0"/>
        <w:jc w:val="right"/>
        <w:rPr>
          <w:rFonts w:ascii="Times New Roman" w:hAnsi="Times New Roman"/>
          <w:sz w:val="20"/>
        </w:rPr>
      </w:pPr>
      <w:r>
        <w:rPr>
          <w:rFonts w:ascii="Times New Roman" w:hAnsi="Times New Roman"/>
          <w:sz w:val="20"/>
        </w:rPr>
        <w:t xml:space="preserve">Grand Cayman KY1-9001, Cayman Islands </w:t>
      </w:r>
    </w:p>
    <w:p>
      <w:pPr>
        <w:pStyle w:val="TextBody"/>
        <w:bidi w:val="0"/>
        <w:spacing w:before="120" w:after="0"/>
        <w:jc w:val="right"/>
        <w:rPr>
          <w:rFonts w:ascii="Times New Roman" w:hAnsi="Times New Roman"/>
          <w:sz w:val="20"/>
        </w:rPr>
      </w:pPr>
      <w:r>
        <w:rPr>
          <w:rFonts w:ascii="Times New Roman" w:hAnsi="Times New Roman"/>
          <w:b/>
          <w:sz w:val="20"/>
        </w:rPr>
        <w:t>T</w:t>
      </w:r>
      <w:r>
        <w:rPr>
          <w:rFonts w:ascii="Times New Roman" w:hAnsi="Times New Roman"/>
          <w:sz w:val="20"/>
        </w:rPr>
        <w:t xml:space="preserve"> +1 345 949 0100 </w:t>
      </w:r>
      <w:r>
        <w:rPr>
          <w:rFonts w:ascii="Times New Roman" w:hAnsi="Times New Roman"/>
          <w:b/>
          <w:sz w:val="20"/>
        </w:rPr>
        <w:t>F</w:t>
      </w:r>
      <w:r>
        <w:rPr>
          <w:rFonts w:ascii="Times New Roman" w:hAnsi="Times New Roman"/>
          <w:sz w:val="20"/>
        </w:rPr>
        <w:t xml:space="preserve"> +1 345 949 7886 www.walkersglobal.com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345565" cy="34734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46"/>
                    <a:stretch>
                      <a:fillRect/>
                    </a:stretch>
                  </pic:blipFill>
                  <pic:spPr bwMode="auto">
                    <a:xfrm>
                      <a:off x="0" y="0"/>
                      <a:ext cx="1345565" cy="347345"/>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Memorandum and Articles of Association will be the memorandum and articles of association of the Company in effect at the time of the issue of the Ordinary Shares, the Preferred Shares and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prospectus supplement and the documents or agreements referred to therein, including without limitation, the Warrants and any document associated therewith, the Units and any document associated therewith and the Debt Securities and any document associated therewith, will be duly authorised, executed and delivered by or on behalf of all relevant parties prior to the issue and sale of Ordinary Shares, Preferred Shares, Warrants, Units and Debt Securities and will be legal, valid, binding and enforceable against all relevant parties in accordance with their terms under all relevant laws (other than the laws of the Cayman Islands).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will offer, issue and sell the Ordinary Shares, the Preferred Shares, the Warrants, the Units and the Debt Securities in the manner contemplated by the Registration Statement and any prospectus supplement (as the case may be) and the documents or agreements referred to therein and otherwise in compliance with all applicable United States federal and state securities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choice of the laws of the jurisdiction selected to govern each of the Documents, the Warrants, the Units and the Debt Securities, has been made in good faith and will be regarded as a valid and binding selection which will be upheld in the courts of that jurisdiction and all relevant jurisdictions (other than the Cayman Islands).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authorisations, approvals, consents, licences and exemptions required by, and all filings and other steps required of each of the parties to the Documents outside the Cayman Islands to ensure the legality, validity and enforceability of the Documents have been or will be duly obtained, made or fulfilled and are and will remain in full force and effect and any conditions to which they are subject have been satisfied.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Records (as defined in Schedule 1) are complete and accurate and all matters required by law and the Memorandum and Articles of Association to be recorded therein are completely and accurately so recorded.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and completeness of all factual representations made in the Registration Statement and all other documents reviewed by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will receive consideration in money or money’s worth for each of the Ordinary Shares and the Preferred Shares when issued, such price in any event not being less than the stated par or nominal value of each Ordinary Share and Preferred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the date of issuance of the Ordinary Shares and the Preferred Shares, the Company will have sufficient authorised and unissued share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Resolutions are and shall remain in full force and effect and have not been or will not be revoked or varied. </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sz w:val="20"/>
        </w:rPr>
        <w:t xml:space="preserve">Walkers </w:t>
      </w:r>
    </w:p>
    <w:p>
      <w:pPr>
        <w:pStyle w:val="TextBody"/>
        <w:bidi w:val="0"/>
        <w:spacing w:before="120" w:after="0"/>
        <w:jc w:val="right"/>
        <w:rPr>
          <w:rFonts w:ascii="Times New Roman" w:hAnsi="Times New Roman"/>
          <w:sz w:val="20"/>
        </w:rPr>
      </w:pPr>
      <w:r>
        <w:rPr>
          <w:rFonts w:ascii="Times New Roman" w:hAnsi="Times New Roman"/>
          <w:sz w:val="20"/>
        </w:rPr>
        <w:t xml:space="preserve">190 Elgin Avenue, George Town </w:t>
      </w:r>
    </w:p>
    <w:p>
      <w:pPr>
        <w:pStyle w:val="TextBody"/>
        <w:bidi w:val="0"/>
        <w:spacing w:before="120" w:after="0"/>
        <w:jc w:val="right"/>
        <w:rPr>
          <w:rFonts w:ascii="Times New Roman" w:hAnsi="Times New Roman"/>
          <w:sz w:val="20"/>
        </w:rPr>
      </w:pPr>
      <w:r>
        <w:rPr>
          <w:rFonts w:ascii="Times New Roman" w:hAnsi="Times New Roman"/>
          <w:sz w:val="20"/>
        </w:rPr>
        <w:t xml:space="preserve">Grand Cayman KY1-9001, Cayman Islands </w:t>
      </w:r>
    </w:p>
    <w:p>
      <w:pPr>
        <w:pStyle w:val="TextBody"/>
        <w:bidi w:val="0"/>
        <w:spacing w:before="120" w:after="0"/>
        <w:jc w:val="right"/>
        <w:rPr>
          <w:rFonts w:ascii="Times New Roman" w:hAnsi="Times New Roman"/>
          <w:sz w:val="20"/>
        </w:rPr>
      </w:pPr>
      <w:r>
        <w:rPr>
          <w:rFonts w:ascii="Times New Roman" w:hAnsi="Times New Roman"/>
          <w:b/>
          <w:sz w:val="20"/>
        </w:rPr>
        <w:t>T</w:t>
      </w:r>
      <w:r>
        <w:rPr>
          <w:rFonts w:ascii="Times New Roman" w:hAnsi="Times New Roman"/>
          <w:sz w:val="20"/>
        </w:rPr>
        <w:t xml:space="preserve"> +1 345 949 0100 </w:t>
      </w:r>
      <w:r>
        <w:rPr>
          <w:rFonts w:ascii="Times New Roman" w:hAnsi="Times New Roman"/>
          <w:b/>
          <w:sz w:val="20"/>
        </w:rPr>
        <w:t>F</w:t>
      </w:r>
      <w:r>
        <w:rPr>
          <w:rFonts w:ascii="Times New Roman" w:hAnsi="Times New Roman"/>
          <w:sz w:val="20"/>
        </w:rPr>
        <w:t xml:space="preserve"> +1 345 949 7886 www.walkersglobal.com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345565" cy="34734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47"/>
                    <a:stretch>
                      <a:fillRect/>
                    </a:stretch>
                  </pic:blipFill>
                  <pic:spPr bwMode="auto">
                    <a:xfrm>
                      <a:off x="0" y="0"/>
                      <a:ext cx="1345565" cy="347345"/>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Documents and any Supplement, the Warrants issuable under the Warrant Documents, the Units issuable under the Unit Documents and the Debt Securities issuable under the Indenture Documents and any Supplement, have been, or will be, duly authorised, executed and delivered by or on behalf of all relevant parties and are, or will be, legal, valid, binding and enforceable against all relevant parties in accordance with their terms under all relevant laws (other than the laws of the Cayman Islands).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preconditions to the issue of the Debt Securities under the terms of the relevant Indenture Document and Supplement will be satisfied or duly waived prior to the issue of the Debt Securities, there will be no breach of the terms of the relevant Indenture Document and Supplement and the Debt Securities will be issued in accordance with a duly authorised, executed and delivered Indenture Document and Supplement.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preconditions to the issue of the Warrants under the terms of the relevant Warrant Documents and the Units under the terms of the relevant Unit Documents will be satisfied or duly waived prior to the issue of the Warrants and the issue of the Units respectively, there will be no breach of the terms of the relevant Warrant Documents or the relevant Unit Documents and the Warrants and the Units will be issued in accordance with duly authorised, executed and delivered Warrant Documents and Unit Documents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18.</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 of the Warrants issuable under the Warrant Documents, the Units issuable under the Unit Documents, the Debt Securities issuable under the Indenture Documents and Supplements, and the Ordinary Shares and the Preferred Shares, will be of commercial benefit to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invitation has been made or will be made by or on behalf of the Company to the public in the Cayman Islands to subscribe for any of the Ordinary Shares, the Preferred Shares, the Warrants, the Units or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are no provisions of the laws of any jurisdiction outside the Cayman Islands which would be contravened by the issuance and allotment of the Ordinary Shares, the Preferred Shares, the Warrants, the Units or the Debt Securities and, insofar as any obligation expressed to be incurred under any of the Documents, the Warrants, the Units or the Debt Securities is to be performed in or is otherwise subject to the laws of any jurisdiction outside the Cayman Islands, its performance will not be illegal by virtue of the laws of that jurisdiction.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is nothing under any law (other than the laws of the Cayman Islands) which would or might affect any of the opinions set forth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will be nothing in any Supplement, Warrant Document or Unit Document which would or might affect any of the opinions set forth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was, or will be, on the date of execution of the Documents to which it is a party able to pay its debts as they became due from its own moneys, and any disposition or settlement of property effected by any of the Documents is made in good faith and for valuable consideration and at the time of each disposition of property by the Company pursuant to the Documents the Company will be able to pay its debts as they become due from its own moneys. </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sz w:val="20"/>
        </w:rPr>
        <w:t xml:space="preserve">Walkers </w:t>
      </w:r>
    </w:p>
    <w:p>
      <w:pPr>
        <w:pStyle w:val="TextBody"/>
        <w:bidi w:val="0"/>
        <w:spacing w:before="120" w:after="0"/>
        <w:jc w:val="right"/>
        <w:rPr>
          <w:rFonts w:ascii="Times New Roman" w:hAnsi="Times New Roman"/>
          <w:sz w:val="20"/>
        </w:rPr>
      </w:pPr>
      <w:r>
        <w:rPr>
          <w:rFonts w:ascii="Times New Roman" w:hAnsi="Times New Roman"/>
          <w:sz w:val="20"/>
        </w:rPr>
        <w:t xml:space="preserve">190 Elgin Avenue, George Town </w:t>
      </w:r>
    </w:p>
    <w:p>
      <w:pPr>
        <w:pStyle w:val="TextBody"/>
        <w:bidi w:val="0"/>
        <w:spacing w:before="120" w:after="0"/>
        <w:jc w:val="right"/>
        <w:rPr>
          <w:rFonts w:ascii="Times New Roman" w:hAnsi="Times New Roman"/>
          <w:sz w:val="20"/>
        </w:rPr>
      </w:pPr>
      <w:r>
        <w:rPr>
          <w:rFonts w:ascii="Times New Roman" w:hAnsi="Times New Roman"/>
          <w:sz w:val="20"/>
        </w:rPr>
        <w:t xml:space="preserve">Grand Cayman KY1-9001, Cayman Islands </w:t>
      </w:r>
    </w:p>
    <w:p>
      <w:pPr>
        <w:pStyle w:val="TextBody"/>
        <w:bidi w:val="0"/>
        <w:spacing w:before="120" w:after="0"/>
        <w:jc w:val="right"/>
        <w:rPr>
          <w:rFonts w:ascii="Times New Roman" w:hAnsi="Times New Roman"/>
          <w:sz w:val="20"/>
        </w:rPr>
      </w:pPr>
      <w:r>
        <w:rPr>
          <w:rFonts w:ascii="Times New Roman" w:hAnsi="Times New Roman"/>
          <w:b/>
          <w:sz w:val="20"/>
        </w:rPr>
        <w:t>T</w:t>
      </w:r>
      <w:r>
        <w:rPr>
          <w:rFonts w:ascii="Times New Roman" w:hAnsi="Times New Roman"/>
          <w:sz w:val="20"/>
        </w:rPr>
        <w:t xml:space="preserve"> +1 345 949 0100 </w:t>
      </w:r>
      <w:r>
        <w:rPr>
          <w:rFonts w:ascii="Times New Roman" w:hAnsi="Times New Roman"/>
          <w:b/>
          <w:sz w:val="20"/>
        </w:rPr>
        <w:t>F</w:t>
      </w:r>
      <w:r>
        <w:rPr>
          <w:rFonts w:ascii="Times New Roman" w:hAnsi="Times New Roman"/>
          <w:sz w:val="20"/>
        </w:rPr>
        <w:t xml:space="preserve"> +1 345 949 7886 www.walkersglobal.com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345565" cy="34734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48"/>
                    <a:stretch>
                      <a:fillRect/>
                    </a:stretch>
                  </pic:blipFill>
                  <pic:spPr bwMode="auto">
                    <a:xfrm>
                      <a:off x="0" y="0"/>
                      <a:ext cx="1345565" cy="347345"/>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No amounts paid to or for the account of any party under the Documents or any property received or disposed of by any party to the Documents in each case in connection with the performance of the Documents or the consummation of the transactions contemplated thereby, represent or will represent proceeds of criminal conduct or criminal property as defined in the Proceeds of Crime Act (as amended) (the “</w:t>
            </w:r>
            <w:r>
              <w:rPr>
                <w:rFonts w:ascii="Times New Roman" w:hAnsi="Times New Roman"/>
                <w:b/>
                <w:sz w:val="20"/>
              </w:rPr>
              <w:t>POCA</w:t>
            </w:r>
            <w:r>
              <w:rPr>
                <w:rFonts w:ascii="Times New Roman" w:hAnsi="Times New Roman"/>
                <w:sz w:val="20"/>
              </w:rPr>
              <w:t>”) or terrorist property as defined in the POCA or the Terrorism Act (as amended) (the “</w:t>
            </w:r>
            <w:r>
              <w:rPr>
                <w:rFonts w:ascii="Times New Roman" w:hAnsi="Times New Roman"/>
                <w:b/>
                <w:sz w:val="20"/>
              </w:rPr>
              <w:t>Terrorism Act</w:t>
            </w:r>
            <w:r>
              <w:rPr>
                <w:rFonts w:ascii="Times New Roman" w:hAnsi="Times New Roman"/>
                <w:sz w:val="20"/>
              </w:rPr>
              <w:t xml:space="preserve">”), each of the Cayman Islands.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opinions expressed above are subject to the following qualifications: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The term “</w:t>
            </w:r>
            <w:r>
              <w:rPr>
                <w:rFonts w:ascii="Times New Roman" w:hAnsi="Times New Roman"/>
                <w:b/>
                <w:sz w:val="20"/>
              </w:rPr>
              <w:t>enforceable</w:t>
            </w:r>
            <w:r>
              <w:rPr>
                <w:rFonts w:ascii="Times New Roman" w:hAnsi="Times New Roman"/>
                <w:sz w:val="20"/>
              </w:rPr>
              <w:t>” and its cognates as used in this opinion means that the obligations assumed by any party under the Documents are of a type which the courts of the Cayman Islands (the “</w:t>
            </w:r>
            <w:r>
              <w:rPr>
                <w:rFonts w:ascii="Times New Roman" w:hAnsi="Times New Roman"/>
                <w:b/>
                <w:sz w:val="20"/>
              </w:rPr>
              <w:t>Courts</w:t>
            </w:r>
            <w:r>
              <w:rPr>
                <w:rFonts w:ascii="Times New Roman" w:hAnsi="Times New Roman"/>
                <w:sz w:val="20"/>
              </w:rPr>
              <w:t>” and each a “</w:t>
            </w:r>
            <w:r>
              <w:rPr>
                <w:rFonts w:ascii="Times New Roman" w:hAnsi="Times New Roman"/>
                <w:b/>
                <w:sz w:val="20"/>
              </w:rPr>
              <w:t>Court</w:t>
            </w:r>
            <w:r>
              <w:rPr>
                <w:rFonts w:ascii="Times New Roman" w:hAnsi="Times New Roman"/>
                <w:sz w:val="20"/>
              </w:rPr>
              <w:t xml:space="preserve">”) enforce. This does not mean that those obligations will necessarily be enforced in all circumstances in accordance with their terms. In particular: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enforcement of obligations and the priority of obligations may be limited by bankruptcy, insolvency, liquidation, restructuring, reorganisation, readjustment of debts or moratorium and other laws of general application relating to or affecting the rights of creditors or by prescription or lapse of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enforcement may be limited by general principles of equity and, in particular, the availability of certain equitable remedies such as injunction or specific performance of an obligation may be limited where a Court considers damages to be an adequate remedy;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claims may become barred under statutes of limitation or may be or become subject to defences of set-off, counterclaim, estoppel and similar defences;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obligations are to be performed in a jurisdiction outside the Cayman Islands, they may not be enforceable in the Cayman Islands to the extent that performance would be illegal under the laws of, or contrary to the public policy of, that jurisdiction;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judgment of a Court may be required to be made in Cayman Islands dollars;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(f)</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that any provision of the Documents is adjudicated to be penal in nature, it will not be enforceable in the Courts; in particular, the enforceability of any provision of the Documents that is adjudicated to constitute a secondary obligation which imposes a detriment on the contract-breaker out of all proportion to any legitimate interest of the innocent party in the enforcement of the primary obligation may be limited;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(g)</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that the performance of any obligation arising under the Documents would be fraudulent or contrary to public policy, it will not be enforceable in the Courts;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(h)</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 insolvent liquidation of the Company, its liabilities are required to be translated into the functional currency of the Company (being the currency of the primary economic environment in which it operated as at the commencement of the liquidation) at the exchange rates prevailing on the date of commencement of the voluntary liquidation or the day on which the winding up order is made (as the case may be); </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sz w:val="20"/>
        </w:rPr>
        <w:t xml:space="preserve">Walkers </w:t>
      </w:r>
    </w:p>
    <w:p>
      <w:pPr>
        <w:pStyle w:val="TextBody"/>
        <w:bidi w:val="0"/>
        <w:spacing w:before="120" w:after="0"/>
        <w:jc w:val="right"/>
        <w:rPr>
          <w:rFonts w:ascii="Times New Roman" w:hAnsi="Times New Roman"/>
          <w:sz w:val="20"/>
        </w:rPr>
      </w:pPr>
      <w:r>
        <w:rPr>
          <w:rFonts w:ascii="Times New Roman" w:hAnsi="Times New Roman"/>
          <w:sz w:val="20"/>
        </w:rPr>
        <w:t xml:space="preserve">190 Elgin Avenue, George Town </w:t>
      </w:r>
    </w:p>
    <w:p>
      <w:pPr>
        <w:pStyle w:val="TextBody"/>
        <w:bidi w:val="0"/>
        <w:spacing w:before="120" w:after="0"/>
        <w:jc w:val="right"/>
        <w:rPr>
          <w:rFonts w:ascii="Times New Roman" w:hAnsi="Times New Roman"/>
          <w:sz w:val="20"/>
        </w:rPr>
      </w:pPr>
      <w:r>
        <w:rPr>
          <w:rFonts w:ascii="Times New Roman" w:hAnsi="Times New Roman"/>
          <w:sz w:val="20"/>
        </w:rPr>
        <w:t xml:space="preserve">Grand Cayman KY1-9001, Cayman Islands </w:t>
      </w:r>
    </w:p>
    <w:p>
      <w:pPr>
        <w:pStyle w:val="TextBody"/>
        <w:bidi w:val="0"/>
        <w:spacing w:before="120" w:after="0"/>
        <w:jc w:val="right"/>
        <w:rPr>
          <w:rFonts w:ascii="Times New Roman" w:hAnsi="Times New Roman"/>
          <w:sz w:val="20"/>
        </w:rPr>
      </w:pPr>
      <w:r>
        <w:rPr>
          <w:rFonts w:ascii="Times New Roman" w:hAnsi="Times New Roman"/>
          <w:b/>
          <w:sz w:val="20"/>
        </w:rPr>
        <w:t>T</w:t>
      </w:r>
      <w:r>
        <w:rPr>
          <w:rFonts w:ascii="Times New Roman" w:hAnsi="Times New Roman"/>
          <w:sz w:val="20"/>
        </w:rPr>
        <w:t xml:space="preserve"> +1 345 949 0100 </w:t>
      </w:r>
      <w:r>
        <w:rPr>
          <w:rFonts w:ascii="Times New Roman" w:hAnsi="Times New Roman"/>
          <w:b/>
          <w:sz w:val="20"/>
        </w:rPr>
        <w:t>F</w:t>
      </w:r>
      <w:r>
        <w:rPr>
          <w:rFonts w:ascii="Times New Roman" w:hAnsi="Times New Roman"/>
          <w:sz w:val="20"/>
        </w:rPr>
        <w:t xml:space="preserve"> +1 345 949 7886 www.walkersglobal.com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733550" cy="447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49"/>
                    <a:stretch>
                      <a:fillRect/>
                    </a:stretch>
                  </pic:blipFill>
                  <pic:spPr bwMode="auto">
                    <a:xfrm>
                      <a:off x="0" y="0"/>
                      <a:ext cx="1733550" cy="447675"/>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Court will not necessarily award costs in litigation in accordance with contractual provisions in this regard;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(j)</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effectiveness of terms in the Documents excusing any party from a liability or duty otherwise owed or indemnifying that party from the consequences of incurring such liability or breaching such duty shall be construed in accordance with, and shall be limited by, applicable law, including generally applicable rules and principles of common law and equity.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relied upon the statements and representations of directors, officers and other representatives of the Company as to factual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opinion as to good standing is based solely upon receipt of the Certificate of Good Standing (as defined in Schedule 1) issued by the Registrar. The Company shall be deemed to be in good standing under section 200A of the Companies Act on the date of issue of the certificate if all fees and penalties under the Companies Act have been paid and the Registrar has no knowledge that the Company is in default under the Companies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not reviewed the final forms of the Indenture Documents or the Debt Securities to be issued thereunder, nor drafts or final forms of the Warrant Documents or the Warrants to be issued thereunder or the Unit Documents or the Units to be issued thereunder, and our opinions are qualified accordingly.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opinion is limited to the matters referred to herein and shall not be construed as extending to any other matter or document not referred to herein. This opinion is given solely for your benefit and the benefit of your legal advisers acting in that capacity in relation to this transaction and may not be relied upon by any other person, other than persons entitled to rely upon it pursuant to the provisions of the Securities Act, without our prior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This opinion shall be construed in accordance with the laws of the Cayman Islands.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use of this opinion as an exhibit to the Registration Statement and further consent to all references to us in the Registration Statement and any amendments thereto.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Yours faithfully</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Walkers (Cayman) 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WALKERS (CAYMAN) LLP</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sz w:val="20"/>
        </w:rPr>
        <w:t xml:space="preserve">Walkers </w:t>
      </w:r>
    </w:p>
    <w:p>
      <w:pPr>
        <w:pStyle w:val="TextBody"/>
        <w:bidi w:val="0"/>
        <w:spacing w:before="120" w:after="0"/>
        <w:jc w:val="right"/>
        <w:rPr>
          <w:rFonts w:ascii="Times New Roman" w:hAnsi="Times New Roman"/>
          <w:sz w:val="20"/>
        </w:rPr>
      </w:pPr>
      <w:r>
        <w:rPr>
          <w:rFonts w:ascii="Times New Roman" w:hAnsi="Times New Roman"/>
          <w:sz w:val="20"/>
        </w:rPr>
        <w:t xml:space="preserve">190 Elgin Avenue, George Town </w:t>
      </w:r>
    </w:p>
    <w:p>
      <w:pPr>
        <w:pStyle w:val="TextBody"/>
        <w:bidi w:val="0"/>
        <w:spacing w:before="120" w:after="0"/>
        <w:jc w:val="right"/>
        <w:rPr>
          <w:rFonts w:ascii="Times New Roman" w:hAnsi="Times New Roman"/>
          <w:sz w:val="20"/>
        </w:rPr>
      </w:pPr>
      <w:r>
        <w:rPr>
          <w:rFonts w:ascii="Times New Roman" w:hAnsi="Times New Roman"/>
          <w:sz w:val="20"/>
        </w:rPr>
        <w:t xml:space="preserve">Grand Cayman KY1-9001, Cayman Islands </w:t>
      </w:r>
    </w:p>
    <w:p>
      <w:pPr>
        <w:pStyle w:val="TextBody"/>
        <w:bidi w:val="0"/>
        <w:spacing w:before="120" w:after="0"/>
        <w:jc w:val="right"/>
        <w:rPr>
          <w:rFonts w:ascii="Times New Roman" w:hAnsi="Times New Roman"/>
          <w:sz w:val="20"/>
        </w:rPr>
      </w:pPr>
      <w:r>
        <w:rPr>
          <w:rFonts w:ascii="Times New Roman" w:hAnsi="Times New Roman"/>
          <w:b/>
          <w:sz w:val="20"/>
        </w:rPr>
        <w:t>T</w:t>
      </w:r>
      <w:r>
        <w:rPr>
          <w:rFonts w:ascii="Times New Roman" w:hAnsi="Times New Roman"/>
          <w:sz w:val="20"/>
        </w:rPr>
        <w:t xml:space="preserve"> +1 345 949 0100 </w:t>
      </w:r>
      <w:r>
        <w:rPr>
          <w:rFonts w:ascii="Times New Roman" w:hAnsi="Times New Roman"/>
          <w:b/>
          <w:sz w:val="20"/>
        </w:rPr>
        <w:t>F</w:t>
      </w:r>
      <w:r>
        <w:rPr>
          <w:rFonts w:ascii="Times New Roman" w:hAnsi="Times New Roman"/>
          <w:sz w:val="20"/>
        </w:rPr>
        <w:t xml:space="preserve"> +1 345 949 7886 www.walkersglobal.com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345565" cy="34734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50"/>
                    <a:stretch>
                      <a:fillRect/>
                    </a:stretch>
                  </pic:blipFill>
                  <pic:spPr bwMode="auto">
                    <a:xfrm>
                      <a:off x="0" y="0"/>
                      <a:ext cx="1345565" cy="34734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SCHEDULE 1</w:t>
      </w:r>
    </w:p>
    <w:p>
      <w:pPr>
        <w:pStyle w:val="TextBody"/>
        <w:bidi w:val="0"/>
        <w:spacing w:before="240" w:after="0"/>
        <w:jc w:val="center"/>
        <w:rPr>
          <w:rFonts w:ascii="Times New Roman" w:hAnsi="Times New Roman"/>
          <w:b/>
          <w:sz w:val="20"/>
        </w:rPr>
      </w:pPr>
      <w:r>
        <w:rPr>
          <w:rFonts w:ascii="Times New Roman" w:hAnsi="Times New Roman"/>
          <w:b/>
          <w:sz w:val="20"/>
        </w:rPr>
        <w:t xml:space="preserve">LIST OF DOCUMENTS EXAMINED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The Certificate of Registration By Way of Continuation of the Company dated 16 July 2026, the Memorandum and Articles of Association of the Company adopted by special resolution on 9 February 2026 and effective as of 16 July 2026 (the “</w:t>
            </w:r>
            <w:r>
              <w:rPr>
                <w:rFonts w:ascii="Times New Roman" w:hAnsi="Times New Roman"/>
                <w:b/>
                <w:sz w:val="20"/>
              </w:rPr>
              <w:t>Memorandum and Articles of Association</w:t>
            </w:r>
            <w:r>
              <w:rPr>
                <w:rFonts w:ascii="Times New Roman" w:hAnsi="Times New Roman"/>
                <w:sz w:val="20"/>
              </w:rPr>
              <w:t>”) and each of the Register of Directors, Register of Officers and Register of Mortgages and Charges of the Company (together, the “</w:t>
            </w:r>
            <w:r>
              <w:rPr>
                <w:rFonts w:ascii="Times New Roman" w:hAnsi="Times New Roman"/>
                <w:b/>
                <w:sz w:val="20"/>
              </w:rPr>
              <w:t>Company Records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Cayman Online Registry Information System (CORIS), the Cayman Islands’ General Registry’s online database, searched on 7 August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A Certificate of Good Standing dated 7 August 2026 in respect of the Company issued by the Registrar (the “</w:t>
            </w:r>
            <w:r>
              <w:rPr>
                <w:rFonts w:ascii="Times New Roman" w:hAnsi="Times New Roman"/>
                <w:b/>
                <w:sz w:val="20"/>
              </w:rPr>
              <w:t>Certificate of Good Standing</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Copies of the resolutions of the Board of Directors of the Company approving, among other things, the entry into the Documents, including, without limitation, copies 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written consent of the Board of Directors of the Company dated 6 August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written consent of the Board of Directors of the Company dated 16 July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written consent of the Board of Directors of the Company dated 6 February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written consent of the Board of Directors of the Company dated 10 February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written consent of the Board of Directors of the Company dated 13 December 2025, </w:t>
            </w:r>
          </w:p>
        </w:tc>
      </w:tr>
    </w:tbl>
    <w:p>
      <w:pPr>
        <w:pStyle w:val="TextBody"/>
        <w:bidi w:val="0"/>
        <w:spacing w:before="120" w:after="0"/>
        <w:jc w:val="left"/>
        <w:rPr>
          <w:rFonts w:ascii="Times New Roman" w:hAnsi="Times New Roman"/>
          <w:sz w:val="20"/>
        </w:rPr>
      </w:pPr>
      <w:r>
        <w:rPr>
          <w:rFonts w:ascii="Times New Roman" w:hAnsi="Times New Roman"/>
          <w:sz w:val="20"/>
        </w:rPr>
        <w:t>(altogether, the “</w:t>
      </w:r>
      <w:r>
        <w:rPr>
          <w:rFonts w:ascii="Times New Roman" w:hAnsi="Times New Roman"/>
          <w:b/>
          <w:sz w:val="20"/>
        </w:rPr>
        <w:t>Resolutions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Copies of the following documents (the “</w:t>
            </w:r>
            <w:r>
              <w:rPr>
                <w:rFonts w:ascii="Times New Roman" w:hAnsi="Times New Roman"/>
                <w:b/>
                <w:sz w:val="20"/>
              </w:rPr>
              <w:t>Documents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Registration Statement on Form S-3ASR (Registration No. 333-293343), initially filed by the Company with the Commission on 10 February 2026, as amended by Post-Effective Amendment No. 1 thereto, relating to the offering, issuance and sale of an indeterminate amount of the Securities (the “</w:t>
            </w:r>
            <w:r>
              <w:rPr>
                <w:rFonts w:ascii="Times New Roman" w:hAnsi="Times New Roman"/>
                <w:b/>
                <w:sz w:val="20"/>
              </w:rPr>
              <w:t>Registration Statement</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a form of the debt securities indenture (as set forth in Exhibit 4.1 to the Registration Statement), in each case, in respect of the Debt Securities (together, the “</w:t>
            </w:r>
            <w:r>
              <w:rPr>
                <w:rFonts w:ascii="Times New Roman" w:hAnsi="Times New Roman"/>
                <w:b/>
                <w:sz w:val="20"/>
              </w:rPr>
              <w:t>Indenture Documents</w:t>
            </w:r>
            <w:r>
              <w:rPr>
                <w:rFonts w:ascii="Times New Roman" w:hAnsi="Times New Roman"/>
                <w:sz w:val="20"/>
              </w:rPr>
              <w:t>” and “</w:t>
            </w:r>
            <w:r>
              <w:rPr>
                <w:rFonts w:ascii="Times New Roman" w:hAnsi="Times New Roman"/>
                <w:b/>
                <w:sz w:val="20"/>
              </w:rPr>
              <w:t>Indenture Document</w:t>
            </w:r>
            <w:r>
              <w:rPr>
                <w:rFonts w:ascii="Times New Roman" w:hAnsi="Times New Roman"/>
                <w:sz w:val="20"/>
              </w:rPr>
              <w:t xml:space="preserve">” shall be construed accordingly). </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sz w:val="20"/>
        </w:rPr>
        <w:t xml:space="preserve">Walkers </w:t>
      </w:r>
    </w:p>
    <w:p>
      <w:pPr>
        <w:pStyle w:val="TextBody"/>
        <w:bidi w:val="0"/>
        <w:spacing w:before="120" w:after="0"/>
        <w:jc w:val="right"/>
        <w:rPr>
          <w:rFonts w:ascii="Times New Roman" w:hAnsi="Times New Roman"/>
          <w:sz w:val="20"/>
        </w:rPr>
      </w:pPr>
      <w:r>
        <w:rPr>
          <w:rFonts w:ascii="Times New Roman" w:hAnsi="Times New Roman"/>
          <w:sz w:val="20"/>
        </w:rPr>
        <w:t xml:space="preserve">190 Elgin Avenue, George Town </w:t>
      </w:r>
    </w:p>
    <w:p>
      <w:pPr>
        <w:pStyle w:val="TextBody"/>
        <w:bidi w:val="0"/>
        <w:spacing w:before="120" w:after="0"/>
        <w:jc w:val="right"/>
        <w:rPr>
          <w:rFonts w:ascii="Times New Roman" w:hAnsi="Times New Roman"/>
          <w:sz w:val="20"/>
        </w:rPr>
      </w:pPr>
      <w:r>
        <w:rPr>
          <w:rFonts w:ascii="Times New Roman" w:hAnsi="Times New Roman"/>
          <w:sz w:val="20"/>
        </w:rPr>
        <w:t xml:space="preserve">Grand Cayman KY1-9001, Cayman Islands </w:t>
      </w:r>
    </w:p>
    <w:p>
      <w:pPr>
        <w:pStyle w:val="TextBody"/>
        <w:bidi w:val="0"/>
        <w:spacing w:before="120" w:after="0"/>
        <w:jc w:val="right"/>
        <w:rPr>
          <w:rFonts w:ascii="Times New Roman" w:hAnsi="Times New Roman"/>
          <w:sz w:val="20"/>
        </w:rPr>
      </w:pPr>
      <w:r>
        <w:rPr>
          <w:rFonts w:ascii="Times New Roman" w:hAnsi="Times New Roman"/>
          <w:b/>
          <w:sz w:val="20"/>
        </w:rPr>
        <w:t>T</w:t>
      </w:r>
      <w:r>
        <w:rPr>
          <w:rFonts w:ascii="Times New Roman" w:hAnsi="Times New Roman"/>
          <w:sz w:val="20"/>
        </w:rPr>
        <w:t xml:space="preserve"> +1 345 949 0100 </w:t>
      </w:r>
      <w:r>
        <w:rPr>
          <w:rFonts w:ascii="Times New Roman" w:hAnsi="Times New Roman"/>
          <w:b/>
          <w:sz w:val="20"/>
        </w:rPr>
        <w:t>F</w:t>
      </w:r>
      <w:r>
        <w:rPr>
          <w:rFonts w:ascii="Times New Roman" w:hAnsi="Times New Roman"/>
          <w:sz w:val="20"/>
        </w:rPr>
        <w:t xml:space="preserve"> +1 345 949 7886 www.walkersglobal.com </w:t>
      </w:r>
    </w:p>
    <w:p>
      <w:pPr>
        <w:pStyle w:val="TextBody"/>
        <w:bidi w:val="0"/>
        <w:spacing w:before="0" w:after="0"/>
        <w:jc w:val="right"/>
        <w:rPr>
          <w:rFonts w:ascii="Times New Roman" w:hAnsi="Times New Roman"/>
          <w:b/>
          <w:sz w:val="20"/>
        </w:rPr>
      </w:pPr>
      <w:bookmarkStart w:id="34" w:name="d161734dex52.htm"/>
      <w:bookmarkStart w:id="35" w:name="ksd161734dex52"/>
      <w:bookmarkEnd w:id="34"/>
      <w:bookmarkEnd w:id="35"/>
      <w:r>
        <w:rPr>
          <w:rFonts w:ascii="Times New Roman" w:hAnsi="Times New Roman"/>
          <w:b/>
          <w:sz w:val="20"/>
        </w:rPr>
        <w:t xml:space="preserve">Exhibit 5.2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758950" cy="45529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51"/>
                    <a:stretch>
                      <a:fillRect/>
                    </a:stretch>
                  </pic:blipFill>
                  <pic:spPr bwMode="auto">
                    <a:xfrm>
                      <a:off x="0" y="0"/>
                      <a:ext cx="1758950" cy="45529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10 August 2026 </w:t>
      </w:r>
    </w:p>
    <w:p>
      <w:pPr>
        <w:pStyle w:val="TextBody"/>
        <w:bidi w:val="0"/>
        <w:spacing w:before="120" w:after="0"/>
        <w:jc w:val="left"/>
        <w:rPr>
          <w:rFonts w:ascii="Times New Roman" w:hAnsi="Times New Roman"/>
          <w:sz w:val="20"/>
        </w:rPr>
      </w:pPr>
      <w:r>
        <w:rPr>
          <w:rFonts w:ascii="Times New Roman" w:hAnsi="Times New Roman"/>
          <w:sz w:val="20"/>
        </w:rPr>
        <w:t xml:space="preserve">Damora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c/o Walkers Corporate Limited </w:t>
      </w:r>
    </w:p>
    <w:p>
      <w:pPr>
        <w:pStyle w:val="TextBody"/>
        <w:bidi w:val="0"/>
        <w:spacing w:before="0" w:after="0"/>
        <w:jc w:val="left"/>
        <w:rPr>
          <w:rFonts w:ascii="Times New Roman" w:hAnsi="Times New Roman"/>
          <w:sz w:val="20"/>
        </w:rPr>
      </w:pPr>
      <w:r>
        <w:rPr>
          <w:rFonts w:ascii="Times New Roman" w:hAnsi="Times New Roman"/>
          <w:sz w:val="20"/>
        </w:rPr>
        <w:t xml:space="preserve">190 Elgin Avenue </w:t>
      </w:r>
    </w:p>
    <w:p>
      <w:pPr>
        <w:pStyle w:val="TextBody"/>
        <w:bidi w:val="0"/>
        <w:spacing w:before="0" w:after="0"/>
        <w:jc w:val="left"/>
        <w:rPr>
          <w:rFonts w:ascii="Times New Roman" w:hAnsi="Times New Roman"/>
          <w:sz w:val="20"/>
        </w:rPr>
      </w:pPr>
      <w:r>
        <w:rPr>
          <w:rFonts w:ascii="Times New Roman" w:hAnsi="Times New Roman"/>
          <w:sz w:val="20"/>
        </w:rPr>
        <w:t xml:space="preserve">George Town </w:t>
      </w:r>
    </w:p>
    <w:p>
      <w:pPr>
        <w:pStyle w:val="TextBody"/>
        <w:bidi w:val="0"/>
        <w:spacing w:before="0" w:after="0"/>
        <w:jc w:val="left"/>
        <w:rPr>
          <w:rFonts w:ascii="Times New Roman" w:hAnsi="Times New Roman"/>
          <w:sz w:val="20"/>
        </w:rPr>
      </w:pPr>
      <w:r>
        <w:rPr>
          <w:rFonts w:ascii="Times New Roman" w:hAnsi="Times New Roman"/>
          <w:sz w:val="20"/>
        </w:rPr>
        <w:t xml:space="preserve">Grand Cayman KY1-9008 </w:t>
      </w:r>
    </w:p>
    <w:p>
      <w:pPr>
        <w:pStyle w:val="TextBody"/>
        <w:bidi w:val="0"/>
        <w:spacing w:before="0" w:after="0"/>
        <w:jc w:val="left"/>
        <w:rPr>
          <w:rFonts w:ascii="Times New Roman" w:hAnsi="Times New Roman"/>
          <w:sz w:val="20"/>
        </w:rPr>
      </w:pPr>
      <w:r>
        <w:rPr>
          <w:rFonts w:ascii="Times New Roman" w:hAnsi="Times New Roman"/>
          <w:sz w:val="20"/>
        </w:rPr>
        <w:t>Cayman Islands</w:t>
      </w:r>
    </w:p>
    <w:p>
      <w:pPr>
        <w:pStyle w:val="TextBody"/>
        <w:bidi w:val="0"/>
        <w:spacing w:before="240" w:after="0"/>
        <w:jc w:val="left"/>
        <w:rPr>
          <w:rFonts w:ascii="Times New Roman" w:hAnsi="Times New Roman"/>
          <w:sz w:val="20"/>
        </w:rPr>
      </w:pPr>
      <w:r>
        <w:rPr>
          <w:rFonts w:ascii="Times New Roman" w:hAnsi="Times New Roman"/>
          <w:sz w:val="20"/>
        </w:rPr>
        <w:t xml:space="preserve">Dear Ladies and Gentlemen </w:t>
      </w:r>
    </w:p>
    <w:p>
      <w:pPr>
        <w:pStyle w:val="TextBody"/>
        <w:bidi w:val="0"/>
        <w:spacing w:before="120" w:after="0"/>
        <w:jc w:val="left"/>
        <w:rPr>
          <w:rFonts w:ascii="Times New Roman" w:hAnsi="Times New Roman"/>
          <w:b/>
          <w:sz w:val="20"/>
        </w:rPr>
      </w:pPr>
      <w:r>
        <w:rPr>
          <w:rFonts w:ascii="Times New Roman" w:hAnsi="Times New Roman"/>
          <w:b/>
          <w:sz w:val="20"/>
        </w:rPr>
        <w:t xml:space="preserve">DAMORA THERAPEUTICS, INC. </w:t>
      </w:r>
    </w:p>
    <w:p>
      <w:pPr>
        <w:pStyle w:val="TextBody"/>
        <w:bidi w:val="0"/>
        <w:spacing w:before="120" w:after="0"/>
        <w:jc w:val="left"/>
        <w:rPr>
          <w:rFonts w:ascii="Times New Roman" w:hAnsi="Times New Roman"/>
          <w:sz w:val="20"/>
        </w:rPr>
      </w:pPr>
      <w:r>
        <w:rPr>
          <w:rFonts w:ascii="Times New Roman" w:hAnsi="Times New Roman"/>
          <w:sz w:val="20"/>
        </w:rPr>
        <w:t>We have acted as Cayman Islands legal advisers to Damora Therapeutics, Inc. (the “</w:t>
      </w:r>
      <w:r>
        <w:rPr>
          <w:rFonts w:ascii="Times New Roman" w:hAnsi="Times New Roman"/>
          <w:b/>
          <w:sz w:val="20"/>
        </w:rPr>
        <w:t>Company”</w:t>
      </w:r>
      <w:r>
        <w:rPr>
          <w:rFonts w:ascii="Times New Roman" w:hAnsi="Times New Roman"/>
          <w:sz w:val="20"/>
        </w:rPr>
        <w:t>), which, prior to its registration by way of continuation as an exempted company limited by shares under the Companies Act (as amended) of the Cayman Islands (the “</w:t>
      </w:r>
      <w:r>
        <w:rPr>
          <w:rFonts w:ascii="Times New Roman" w:hAnsi="Times New Roman"/>
          <w:b/>
          <w:sz w:val="20"/>
        </w:rPr>
        <w:t>Companies Act”</w:t>
      </w:r>
      <w:r>
        <w:rPr>
          <w:rFonts w:ascii="Times New Roman" w:hAnsi="Times New Roman"/>
          <w:sz w:val="20"/>
        </w:rPr>
        <w:t>) on 16 July 2026 (the “</w:t>
      </w:r>
      <w:r>
        <w:rPr>
          <w:rFonts w:ascii="Times New Roman" w:hAnsi="Times New Roman"/>
          <w:b/>
          <w:sz w:val="20"/>
        </w:rPr>
        <w:t>Redomestication”</w:t>
      </w:r>
      <w:r>
        <w:rPr>
          <w:rFonts w:ascii="Times New Roman" w:hAnsi="Times New Roman"/>
          <w:sz w:val="20"/>
        </w:rPr>
        <w:t>), was a corporation incorporated under the laws of the State of Delaware (the “</w:t>
      </w:r>
      <w:r>
        <w:rPr>
          <w:rFonts w:ascii="Times New Roman" w:hAnsi="Times New Roman"/>
          <w:b/>
          <w:sz w:val="20"/>
        </w:rPr>
        <w:t>Prior Jurisdiction”</w:t>
      </w:r>
      <w:r>
        <w:rPr>
          <w:rFonts w:ascii="Times New Roman" w:hAnsi="Times New Roman"/>
          <w:sz w:val="20"/>
        </w:rPr>
        <w:t>). We have been asked to provide this legal opinion to you with regards to the laws of the Cayman Islands in connection with Post-Effective Amendment No. 1 to the Registration Statement on Form S-3ASR (Registration No. 333-293343) (as so amended, the “</w:t>
      </w:r>
      <w:r>
        <w:rPr>
          <w:rFonts w:ascii="Times New Roman" w:hAnsi="Times New Roman"/>
          <w:b/>
          <w:sz w:val="20"/>
        </w:rPr>
        <w:t>Registration Statement”</w:t>
      </w:r>
      <w:r>
        <w:rPr>
          <w:rFonts w:ascii="Times New Roman" w:hAnsi="Times New Roman"/>
          <w:sz w:val="20"/>
        </w:rPr>
        <w:t>), filed by the Company with the United States Securities and Exchange Commission (the “</w:t>
      </w:r>
      <w:r>
        <w:rPr>
          <w:rFonts w:ascii="Times New Roman" w:hAnsi="Times New Roman"/>
          <w:b/>
          <w:sz w:val="20"/>
        </w:rPr>
        <w:t>Commission”</w:t>
      </w:r>
      <w:r>
        <w:rPr>
          <w:rFonts w:ascii="Times New Roman" w:hAnsi="Times New Roman"/>
          <w:sz w:val="20"/>
        </w:rPr>
        <w:t>) pursuant to the United States Securities Act of 1933, as amended (the “</w:t>
      </w:r>
      <w:r>
        <w:rPr>
          <w:rFonts w:ascii="Times New Roman" w:hAnsi="Times New Roman"/>
          <w:b/>
          <w:sz w:val="20"/>
        </w:rPr>
        <w:t>Securities Act”</w:t>
      </w:r>
      <w:r>
        <w:rPr>
          <w:rFonts w:ascii="Times New Roman" w:hAnsi="Times New Roman"/>
          <w:sz w:val="20"/>
        </w:rPr>
        <w:t>), and the Prospectus Supplement (as defined in Schedule 1) thereto relating to the offering, issue and sale (the “</w:t>
      </w:r>
      <w:r>
        <w:rPr>
          <w:rFonts w:ascii="Times New Roman" w:hAnsi="Times New Roman"/>
          <w:b/>
          <w:sz w:val="20"/>
        </w:rPr>
        <w:t>ATM Offering”</w:t>
      </w:r>
      <w:r>
        <w:rPr>
          <w:rFonts w:ascii="Times New Roman" w:hAnsi="Times New Roman"/>
          <w:sz w:val="20"/>
        </w:rPr>
        <w:t>) by the Company of up to an aggregate offering price of US$150,000,000 of its ordinary shares with a nominal value of US$0.00001 each (the “</w:t>
      </w:r>
      <w:r>
        <w:rPr>
          <w:rFonts w:ascii="Times New Roman" w:hAnsi="Times New Roman"/>
          <w:b/>
          <w:sz w:val="20"/>
        </w:rPr>
        <w:t>Sales Agreement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giving this opinion, we have examined and relied upon the originals or copies of the documents listed in Schedule 1. </w:t>
      </w:r>
    </w:p>
    <w:p>
      <w:pPr>
        <w:pStyle w:val="TextBody"/>
        <w:bidi w:val="0"/>
        <w:spacing w:before="240" w:after="0"/>
        <w:jc w:val="left"/>
        <w:rPr>
          <w:rFonts w:ascii="Times New Roman" w:hAnsi="Times New Roman"/>
          <w:sz w:val="20"/>
        </w:rPr>
      </w:pPr>
      <w:r>
        <w:rPr>
          <w:rFonts w:ascii="Times New Roman" w:hAnsi="Times New Roman"/>
          <w:sz w:val="20"/>
        </w:rPr>
        <w:t xml:space="preserve">We are Cayman Islands Attorneys at Law and express no opinion as to any laws other than the laws of the Cayman Islands in force and as interpreted at the date of this opinion. We have not, for the purposes of this opinion, made any investigation of the laws, rules or regulations of any other jurisdiction. Except as explicitly stated herein, we express no opinion in relation to any representation or warranty contained in the Documents nor upon matters of fact or the commercial terms of the transactions contemplated by the Documents. </w:t>
      </w:r>
    </w:p>
    <w:p>
      <w:pPr>
        <w:pStyle w:val="TextBody"/>
        <w:bidi w:val="0"/>
        <w:spacing w:before="240" w:after="0"/>
        <w:jc w:val="left"/>
        <w:rPr>
          <w:rFonts w:ascii="Times New Roman" w:hAnsi="Times New Roman"/>
          <w:sz w:val="20"/>
        </w:rPr>
      </w:pPr>
      <w:r>
        <w:rPr>
          <w:rFonts w:ascii="Times New Roman" w:hAnsi="Times New Roman"/>
          <w:sz w:val="20"/>
        </w:rPr>
        <w:t xml:space="preserve">Based upon the foregoing examinations and the assumptions and qualifications set out below and having regard to legal considerations which we consider relevant, and under the laws of the Cayman Islands, we give the following opinion in relation to the matters set out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The Company is an exempted company registered by way of continuation with limited liability, validly existing under the laws of the Cayman Islands and in good standing with the Registrar of Companies in the Cayman Islands (the “</w:t>
            </w:r>
            <w:r>
              <w:rPr>
                <w:rFonts w:ascii="Times New Roman" w:hAnsi="Times New Roman"/>
                <w:b/>
                <w:sz w:val="20"/>
              </w:rPr>
              <w:t>Registrar</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sz w:val="20"/>
        </w:rPr>
        <w:t xml:space="preserve">Walkers </w:t>
      </w:r>
    </w:p>
    <w:p>
      <w:pPr>
        <w:pStyle w:val="TextBody"/>
        <w:bidi w:val="0"/>
        <w:spacing w:before="120" w:after="0"/>
        <w:jc w:val="right"/>
        <w:rPr>
          <w:rFonts w:ascii="Times New Roman" w:hAnsi="Times New Roman"/>
          <w:sz w:val="16"/>
        </w:rPr>
      </w:pPr>
      <w:r>
        <w:rPr>
          <w:rFonts w:ascii="Times New Roman" w:hAnsi="Times New Roman"/>
          <w:sz w:val="16"/>
        </w:rPr>
        <w:t xml:space="preserve">190 Elgin Avenue, George Town </w:t>
      </w:r>
    </w:p>
    <w:p>
      <w:pPr>
        <w:pStyle w:val="TextBody"/>
        <w:bidi w:val="0"/>
        <w:spacing w:before="120" w:after="0"/>
        <w:jc w:val="right"/>
        <w:rPr>
          <w:rFonts w:ascii="Times New Roman" w:hAnsi="Times New Roman"/>
          <w:sz w:val="16"/>
        </w:rPr>
      </w:pPr>
      <w:r>
        <w:rPr>
          <w:rFonts w:ascii="Times New Roman" w:hAnsi="Times New Roman"/>
          <w:sz w:val="16"/>
        </w:rPr>
        <w:t xml:space="preserve">Grand Cayman KY1-9001, Cayman Islands </w:t>
      </w:r>
    </w:p>
    <w:p>
      <w:pPr>
        <w:pStyle w:val="TextBody"/>
        <w:bidi w:val="0"/>
        <w:spacing w:before="120" w:after="0"/>
        <w:jc w:val="right"/>
        <w:rPr>
          <w:rFonts w:ascii="Times New Roman" w:hAnsi="Times New Roman"/>
          <w:sz w:val="16"/>
        </w:rPr>
      </w:pPr>
      <w:r>
        <w:rPr>
          <w:rFonts w:ascii="Times New Roman" w:hAnsi="Times New Roman"/>
          <w:b/>
          <w:sz w:val="16"/>
        </w:rPr>
        <w:t>T</w:t>
      </w:r>
      <w:r>
        <w:rPr>
          <w:rFonts w:ascii="Times New Roman" w:hAnsi="Times New Roman"/>
          <w:sz w:val="16"/>
        </w:rPr>
        <w:t xml:space="preserve"> +1 345 949 0100 </w:t>
      </w:r>
      <w:r>
        <w:rPr>
          <w:rFonts w:ascii="Times New Roman" w:hAnsi="Times New Roman"/>
          <w:b/>
          <w:sz w:val="16"/>
        </w:rPr>
        <w:t>F</w:t>
      </w:r>
      <w:r>
        <w:rPr>
          <w:rFonts w:ascii="Times New Roman" w:hAnsi="Times New Roman"/>
          <w:sz w:val="16"/>
        </w:rPr>
        <w:t xml:space="preserve"> +1 345 949 7886 www.walkersglobal.com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Sales Agreement Shares have been duly authorised by all necessary corporate action of the Company. Upon the issue of the Sales Agreement Shares (by the entry of the name of the registered owner thereof in the Register of Members of the Company confirming that such Sales Agreement Shares have been issued credited as fully paid), delivery and payment therefor by the purchaser (for consideration not being less than their par value) in accordance with the Memorandum and Articles of Association (as defined in Schedule 1) and the Sales Agreement (as defined in Schedule 1) and in the manner contemplated by the Prospectus Supplement, the Sales Agreement Shares will be validly issued, fully paid and non-assessable (meaning that no additional sums may be levied on the holder thereof in respect of the shares by the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opinion is given based on the following assumptions.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1.</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necessary actions were taken under the applicable U.S. laws to authorise and permit the Redomestication, and any and all consents, approvals and authorisations from the applicable U.S. governmental and regulatory authorities required to authorise and permit the Redomestication were obtained.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laws of the Prior Jurisdiction permitted the transfer out of the Company in the manner provided in Part 12 of the Companies Act and have been fully complied with.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provision of any law or regulation applicable in the Prior Jurisdiction (or elsewhere) was breached by virtue of the transfer by way of continuation of the Company to the Cayman Islands.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4.</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originals of all documents examined in connection with this opinion are authentic. The signatures, initials and seals on the Documents (as defined in Schedule 1) are genuine and are those of a person or persons given power to execute the Documents under the Resolutions (as defined in Schedule 1). All documents purporting to be sealed have been so sealed. All copies are complete and conform to their originals. The Documents conform in every material respect to the latest drafts of the same produced to us and, where provided in successive drafts, have been marked up to indicate all changes to such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Memorandum and Articles of Association will be the memorandum and articles of association of the Company in effect at the time of issue of the Sales Agreement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6.</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Prospectus Supplement and the documents or agreements referred to therein will be duly authorised, executed and delivered by or on behalf of all relevant parties prior to the issue and sale of the Sales Agreement Shares and will be legal, valid, binding and enforceable against all relevant parties in accordance with their terms under all relevant laws (other than the laws of the Cayman Islands).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will offer, issue and sell the Sales Agreement Shares in the manner contemplated by the Sales Agreement and the Prospectus Supplement and the documents or agreements referred to therein and otherwise in compliance with all applicable United States federal and state securities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choice of the laws of the jurisdiction selected to govern each of the Documents has been made in good faith and will be regarded as a valid and binding selection which will be upheld in the courts of that jurisdiction and all relevant jurisdictions (other than the Cayman Islands). </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sz w:val="20"/>
        </w:rPr>
        <w:t xml:space="preserve">Walkers </w:t>
      </w:r>
    </w:p>
    <w:p>
      <w:pPr>
        <w:pStyle w:val="TextBody"/>
        <w:bidi w:val="0"/>
        <w:spacing w:before="120" w:after="0"/>
        <w:jc w:val="right"/>
        <w:rPr>
          <w:rFonts w:ascii="Times New Roman" w:hAnsi="Times New Roman"/>
          <w:sz w:val="20"/>
        </w:rPr>
      </w:pPr>
      <w:r>
        <w:rPr>
          <w:rFonts w:ascii="Times New Roman" w:hAnsi="Times New Roman"/>
          <w:sz w:val="20"/>
        </w:rPr>
        <w:t xml:space="preserve">190 Elgin Avenue, George Town </w:t>
      </w:r>
    </w:p>
    <w:p>
      <w:pPr>
        <w:pStyle w:val="TextBody"/>
        <w:bidi w:val="0"/>
        <w:spacing w:before="120" w:after="0"/>
        <w:jc w:val="right"/>
        <w:rPr>
          <w:rFonts w:ascii="Times New Roman" w:hAnsi="Times New Roman"/>
          <w:sz w:val="20"/>
        </w:rPr>
      </w:pPr>
      <w:r>
        <w:rPr>
          <w:rFonts w:ascii="Times New Roman" w:hAnsi="Times New Roman"/>
          <w:sz w:val="20"/>
        </w:rPr>
        <w:t xml:space="preserve">Grand Cayman KY1-9001, Cayman Islands </w:t>
      </w:r>
    </w:p>
    <w:p>
      <w:pPr>
        <w:pStyle w:val="TextBody"/>
        <w:bidi w:val="0"/>
        <w:spacing w:before="120" w:after="0"/>
        <w:jc w:val="right"/>
        <w:rPr>
          <w:rFonts w:ascii="Times New Roman" w:hAnsi="Times New Roman"/>
          <w:sz w:val="20"/>
        </w:rPr>
      </w:pPr>
      <w:r>
        <w:rPr>
          <w:rFonts w:ascii="Times New Roman" w:hAnsi="Times New Roman"/>
          <w:b/>
          <w:sz w:val="20"/>
        </w:rPr>
        <w:t>T</w:t>
      </w:r>
      <w:r>
        <w:rPr>
          <w:rFonts w:ascii="Times New Roman" w:hAnsi="Times New Roman"/>
          <w:sz w:val="20"/>
        </w:rPr>
        <w:t xml:space="preserve"> +1 345 949 0100 </w:t>
      </w:r>
      <w:r>
        <w:rPr>
          <w:rFonts w:ascii="Times New Roman" w:hAnsi="Times New Roman"/>
          <w:b/>
          <w:sz w:val="20"/>
        </w:rPr>
        <w:t>F</w:t>
      </w:r>
      <w:r>
        <w:rPr>
          <w:rFonts w:ascii="Times New Roman" w:hAnsi="Times New Roman"/>
          <w:sz w:val="20"/>
        </w:rPr>
        <w:t xml:space="preserve"> +1 345 949 7886 www.walkersglobal.com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Records (as defined in Schedule 1) are complete and accurate and all matters required by law and the Memorandum and Articles of Association to be recorded therein are completely and accurately so recorded.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and completeness of all factual representations made in the Prospectus Supplement and the Registration Statement and all other documents reviewed by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will receive consideration in money or money’s worth for each of the Sales Agreement Shares when issued, such price in any event not being less than the stated par or nominal value of each Sales Agreement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the date of issuance of any Sales Agreement Share, the Company will have sufficient authorised and unissued share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Resolutions are and shall remain in full force and effect and have not been or will not be revoked or varied.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Prior to any offer, issue or sale of the Sales Agreement Shares, the Board (or a duly authorised committee thereof) will, to the extent required under the Resolutions, duly adopt by written consent resolutions setting forth, among other items, the maximum number of Sales Agreement Shares issuable in the ATM Offering and the minimum consideration for which Sales Agreement Shares may be issued pursuant to the ATM Offering (the “</w:t>
            </w:r>
            <w:r>
              <w:rPr>
                <w:rFonts w:ascii="Times New Roman" w:hAnsi="Times New Roman"/>
                <w:b/>
                <w:sz w:val="20"/>
              </w:rPr>
              <w:t>Pricing Resolutions”</w:t>
            </w:r>
            <w:r>
              <w:rPr>
                <w:rFonts w:ascii="Times New Roman" w:hAnsi="Times New Roman"/>
                <w:sz w:val="20"/>
              </w:rPr>
              <w:t xml:space="preserve">). The ATM Offering shall be made, and Sales Agreement Shares will only be issued, in accordance with the limitations set forth in the Pricing Resolutions. Except for the Resolutions, there have been no other consents, resolutions or other determinations of the Board (or any committee thereof) in respect of the ATM Offering, whether in writing or otherwise, adopted on or prior to the date of this opinion.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Documents, have been, or will be, duly authorised, executed and delivered by or on behalf of all relevant parties and are, or will be, legal, valid, binding and enforceable against all relevant parties in accordance with their terms under all relevant laws (other than the laws of the Cayman Islands).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preconditions to the issue of the Sales Agreement Shares under the terms of the Sales Agreement will be satisfied or duly waived prior to the issue of the Sales Agreement Shares and there will be no breach of the terms of the Sales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 of the Sales Agreement Shares will be of commercial benefit to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invitation has been made or will be made by or on behalf of the Company to the public in the Cayman Islands to subscribe for any of the Sales Agreement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are no provisions of the laws of any jurisdiction outside the Cayman Islands which would be contravened by the issuance and allotment of the Sales Agreement Shares and, insofar as any obligation expressed to be incurred under any of the Documents is to be performed in or is otherwise subject to the laws of any jurisdiction outside the Cayman Islands, its performance will not be illegal by virtue of the laws of that jurisdiction. </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sz w:val="20"/>
        </w:rPr>
        <w:t xml:space="preserve">Walkers </w:t>
      </w:r>
    </w:p>
    <w:p>
      <w:pPr>
        <w:pStyle w:val="TextBody"/>
        <w:bidi w:val="0"/>
        <w:spacing w:before="120" w:after="0"/>
        <w:jc w:val="right"/>
        <w:rPr>
          <w:rFonts w:ascii="Times New Roman" w:hAnsi="Times New Roman"/>
          <w:sz w:val="20"/>
        </w:rPr>
      </w:pPr>
      <w:r>
        <w:rPr>
          <w:rFonts w:ascii="Times New Roman" w:hAnsi="Times New Roman"/>
          <w:sz w:val="20"/>
        </w:rPr>
        <w:t xml:space="preserve">190 Elgin Avenue, George Town </w:t>
      </w:r>
    </w:p>
    <w:p>
      <w:pPr>
        <w:pStyle w:val="TextBody"/>
        <w:bidi w:val="0"/>
        <w:spacing w:before="120" w:after="0"/>
        <w:jc w:val="right"/>
        <w:rPr>
          <w:rFonts w:ascii="Times New Roman" w:hAnsi="Times New Roman"/>
          <w:sz w:val="20"/>
        </w:rPr>
      </w:pPr>
      <w:r>
        <w:rPr>
          <w:rFonts w:ascii="Times New Roman" w:hAnsi="Times New Roman"/>
          <w:sz w:val="20"/>
        </w:rPr>
        <w:t xml:space="preserve">Grand Cayman KY1-9001, Cayman Islands </w:t>
      </w:r>
    </w:p>
    <w:p>
      <w:pPr>
        <w:pStyle w:val="TextBody"/>
        <w:bidi w:val="0"/>
        <w:spacing w:before="120" w:after="0"/>
        <w:jc w:val="right"/>
        <w:rPr>
          <w:rFonts w:ascii="Times New Roman" w:hAnsi="Times New Roman"/>
          <w:sz w:val="20"/>
        </w:rPr>
      </w:pPr>
      <w:r>
        <w:rPr>
          <w:rFonts w:ascii="Times New Roman" w:hAnsi="Times New Roman"/>
          <w:b/>
          <w:sz w:val="20"/>
        </w:rPr>
        <w:t>T</w:t>
      </w:r>
      <w:r>
        <w:rPr>
          <w:rFonts w:ascii="Times New Roman" w:hAnsi="Times New Roman"/>
          <w:sz w:val="20"/>
        </w:rPr>
        <w:t xml:space="preserve"> +1 345 949 0100 </w:t>
      </w:r>
      <w:r>
        <w:rPr>
          <w:rFonts w:ascii="Times New Roman" w:hAnsi="Times New Roman"/>
          <w:b/>
          <w:sz w:val="20"/>
        </w:rPr>
        <w:t>F</w:t>
      </w:r>
      <w:r>
        <w:rPr>
          <w:rFonts w:ascii="Times New Roman" w:hAnsi="Times New Roman"/>
          <w:sz w:val="20"/>
        </w:rPr>
        <w:t xml:space="preserve"> +1 345 949 7886 www.walkersglobal.com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is nothing under any law (other than the laws of the Cayman Islands) which would or might affect any of the opinions set forth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will be nothing in the Prospectus Supplement or the Pricing Resolutions which would or might affect any of the opinions set forth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was, or will be, on the date of execution of the Documents to which it is a party able to pay its debts as they became due from its own moneys, and any disposition or settlement of property effected by any of the Documents is made in good faith and for valuable consideration and at the time of each disposition of property by the Company pursuant to the Documents the Company will be able to pay its debts as they become due from its own moneys.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No amounts paid to or for the account of any party under the Documents or any property received or disposed of by any party to the Documents in each case in connection with the performance of the Documents or the consummation of the transactions contemplated thereby, represent or will represent proceeds of criminal conduct or criminal property as defined in the Proceeds of Crime Act (as amended) (the “</w:t>
            </w:r>
            <w:r>
              <w:rPr>
                <w:rFonts w:ascii="Times New Roman" w:hAnsi="Times New Roman"/>
                <w:b/>
                <w:sz w:val="20"/>
              </w:rPr>
              <w:t>POCA</w:t>
            </w:r>
            <w:r>
              <w:rPr>
                <w:rFonts w:ascii="Times New Roman" w:hAnsi="Times New Roman"/>
                <w:sz w:val="20"/>
              </w:rPr>
              <w:t>”) or terrorist property as defined in the POCA or the Terrorism Act (as amended) (the “</w:t>
            </w:r>
            <w:r>
              <w:rPr>
                <w:rFonts w:ascii="Times New Roman" w:hAnsi="Times New Roman"/>
                <w:b/>
                <w:sz w:val="20"/>
              </w:rPr>
              <w:t>Terrorism Act</w:t>
            </w:r>
            <w:r>
              <w:rPr>
                <w:rFonts w:ascii="Times New Roman" w:hAnsi="Times New Roman"/>
                <w:sz w:val="20"/>
              </w:rPr>
              <w:t xml:space="preserve">”), each of the Cayman Islands.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opinions expressed above are subject to the following qualifications: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The term “</w:t>
            </w:r>
            <w:r>
              <w:rPr>
                <w:rFonts w:ascii="Times New Roman" w:hAnsi="Times New Roman"/>
                <w:b/>
                <w:sz w:val="20"/>
              </w:rPr>
              <w:t>enforceable</w:t>
            </w:r>
            <w:r>
              <w:rPr>
                <w:rFonts w:ascii="Times New Roman" w:hAnsi="Times New Roman"/>
                <w:sz w:val="20"/>
              </w:rPr>
              <w:t>” and its cognates as used in this opinion means that the obligations assumed by any party under the Documents are of a type which the courts of the Cayman Islands (the “</w:t>
            </w:r>
            <w:r>
              <w:rPr>
                <w:rFonts w:ascii="Times New Roman" w:hAnsi="Times New Roman"/>
                <w:b/>
                <w:sz w:val="20"/>
              </w:rPr>
              <w:t>Courts</w:t>
            </w:r>
            <w:r>
              <w:rPr>
                <w:rFonts w:ascii="Times New Roman" w:hAnsi="Times New Roman"/>
                <w:sz w:val="20"/>
              </w:rPr>
              <w:t>” and each a “</w:t>
            </w:r>
            <w:r>
              <w:rPr>
                <w:rFonts w:ascii="Times New Roman" w:hAnsi="Times New Roman"/>
                <w:b/>
                <w:sz w:val="20"/>
              </w:rPr>
              <w:t>Court</w:t>
            </w:r>
            <w:r>
              <w:rPr>
                <w:rFonts w:ascii="Times New Roman" w:hAnsi="Times New Roman"/>
                <w:sz w:val="20"/>
              </w:rPr>
              <w:t xml:space="preserve">”) enforce. This does not mean that those obligations will necessarily be enforced in all circumstances in accordance with their terms. In particular: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enforcement of obligations and the priority of obligations may be limited by bankruptcy, insolvency, liquidation, restructuring, reorganisation, readjustment of debts or moratorium and other laws of general application relating to or affecting the rights of creditors or by prescription or lapse of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enforcement may be limited by general principles of equity and, in particular, the availability of certain equitable remedies such as injunction or specific performance of an obligation may be limited where a Court considers damages to be an adequate remedy;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claims may become barred under statutes of limitation or may be or become subject to defences of set-off, counterclaim, estoppel and similar defences;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obligations are to be performed in a jurisdiction outside the Cayman Islands, they may not be enforceable in the Cayman Islands to the extent that performance would be illegal under the laws of, or contrary to the public policy of, that jurisdiction;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judgment of a Court may be required to be made in Cayman Islands dollars; </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sz w:val="20"/>
        </w:rPr>
        <w:t xml:space="preserve">Walkers </w:t>
      </w:r>
    </w:p>
    <w:p>
      <w:pPr>
        <w:pStyle w:val="TextBody"/>
        <w:bidi w:val="0"/>
        <w:spacing w:before="120" w:after="0"/>
        <w:jc w:val="right"/>
        <w:rPr>
          <w:rFonts w:ascii="Times New Roman" w:hAnsi="Times New Roman"/>
          <w:sz w:val="20"/>
        </w:rPr>
      </w:pPr>
      <w:r>
        <w:rPr>
          <w:rFonts w:ascii="Times New Roman" w:hAnsi="Times New Roman"/>
          <w:sz w:val="20"/>
        </w:rPr>
        <w:t xml:space="preserve">190 Elgin Avenue, George Town </w:t>
      </w:r>
    </w:p>
    <w:p>
      <w:pPr>
        <w:pStyle w:val="TextBody"/>
        <w:bidi w:val="0"/>
        <w:spacing w:before="120" w:after="0"/>
        <w:jc w:val="right"/>
        <w:rPr>
          <w:rFonts w:ascii="Times New Roman" w:hAnsi="Times New Roman"/>
          <w:sz w:val="20"/>
        </w:rPr>
      </w:pPr>
      <w:r>
        <w:rPr>
          <w:rFonts w:ascii="Times New Roman" w:hAnsi="Times New Roman"/>
          <w:sz w:val="20"/>
        </w:rPr>
        <w:t xml:space="preserve">Grand Cayman KY1-9001, Cayman Islands </w:t>
      </w:r>
    </w:p>
    <w:p>
      <w:pPr>
        <w:pStyle w:val="TextBody"/>
        <w:bidi w:val="0"/>
        <w:spacing w:before="120" w:after="0"/>
        <w:jc w:val="right"/>
        <w:rPr>
          <w:rFonts w:ascii="Times New Roman" w:hAnsi="Times New Roman"/>
          <w:sz w:val="20"/>
        </w:rPr>
      </w:pPr>
      <w:r>
        <w:rPr>
          <w:rFonts w:ascii="Times New Roman" w:hAnsi="Times New Roman"/>
          <w:b/>
          <w:sz w:val="20"/>
        </w:rPr>
        <w:t>T</w:t>
      </w:r>
      <w:r>
        <w:rPr>
          <w:rFonts w:ascii="Times New Roman" w:hAnsi="Times New Roman"/>
          <w:sz w:val="20"/>
        </w:rPr>
        <w:t xml:space="preserve"> +1 345 949 0100 </w:t>
      </w:r>
      <w:r>
        <w:rPr>
          <w:rFonts w:ascii="Times New Roman" w:hAnsi="Times New Roman"/>
          <w:b/>
          <w:sz w:val="20"/>
        </w:rPr>
        <w:t>F</w:t>
      </w:r>
      <w:r>
        <w:rPr>
          <w:rFonts w:ascii="Times New Roman" w:hAnsi="Times New Roman"/>
          <w:sz w:val="20"/>
        </w:rPr>
        <w:t xml:space="preserve"> +1 345 949 7886 www.walkersglobal.com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(f)</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that any provision of the Documents is adjudicated to be penal in nature, it will not be enforceable in the Courts; in particular, the enforceability of any provision of the Documents that is adjudicated to constitute a secondary obligation which imposes a detriment on the contract-breaker out of all proportion to any legitimate interest of the innocent party in the enforcement of the primary obligation may be limited;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(g)</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that the performance of any obligation arising under the Documents would be fraudulent or contrary to public policy, it will not be enforceable in the Courts;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(h)</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 insolvent liquidation of the Company, its liabilities are required to be translated into the functional currency of the Company (being the currency of the primary economic environment in which it operated as at the commencement of the liquidation) at the exchange rates prevailing on the date of commencement of the voluntary liquidation or the day on which the winding up order is made (as the case may be);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Court will not necessarily award costs in litigation in accordance with contractual provisions in this regard;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(j)</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effectiveness of terms in the Documents excusing any party from a liability or duty otherwise owed or indemnifying that party from the consequences of incurring such liability or breaching such duty shall be construed in accordance with, and shall be limited by, applicable law, including generally applicable rules and principles of common law and equity.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relied upon the statements and representations of directors, officers and other representatives of the Company as to factual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opinion as to good standing is based solely upon receipt of the Certificate of Good Standing (as defined in Schedule 1) issued by the Registrar. The Company shall be deemed to be in good standing under section 200A of the Companies Act on the date of issue of the certificate if all fees and penalties under the Companies Act have been paid and the Registrar has no knowledge that the Company is in default under the Companies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opinion is limited to the matters referred to herein and shall not be construed as extending to any other matter or document not referred to herein. This opinion is given solely for your benefit and the benefit of your legal advisers acting in that capacity in relation to this transaction and may not be relied upon by any other person, other than persons entitled to rely upon it pursuant to the provisions of the Securities Act, without our prior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This opinion shall be construed in accordance with the laws of the Cayman Islands. </w:t>
      </w:r>
    </w:p>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sz w:val="20"/>
        </w:rPr>
        <w:t xml:space="preserve">Walkers </w:t>
      </w:r>
    </w:p>
    <w:p>
      <w:pPr>
        <w:pStyle w:val="TextBody"/>
        <w:bidi w:val="0"/>
        <w:spacing w:before="120" w:after="0"/>
        <w:jc w:val="right"/>
        <w:rPr>
          <w:rFonts w:ascii="Times New Roman" w:hAnsi="Times New Roman"/>
          <w:sz w:val="20"/>
        </w:rPr>
      </w:pPr>
      <w:r>
        <w:rPr>
          <w:rFonts w:ascii="Times New Roman" w:hAnsi="Times New Roman"/>
          <w:sz w:val="20"/>
        </w:rPr>
        <w:t xml:space="preserve">190 Elgin Avenue, George Town </w:t>
      </w:r>
    </w:p>
    <w:p>
      <w:pPr>
        <w:pStyle w:val="TextBody"/>
        <w:bidi w:val="0"/>
        <w:spacing w:before="120" w:after="0"/>
        <w:jc w:val="right"/>
        <w:rPr>
          <w:rFonts w:ascii="Times New Roman" w:hAnsi="Times New Roman"/>
          <w:sz w:val="20"/>
        </w:rPr>
      </w:pPr>
      <w:r>
        <w:rPr>
          <w:rFonts w:ascii="Times New Roman" w:hAnsi="Times New Roman"/>
          <w:sz w:val="20"/>
        </w:rPr>
        <w:t xml:space="preserve">Grand Cayman KY1-9001, Cayman Islands </w:t>
      </w:r>
    </w:p>
    <w:p>
      <w:pPr>
        <w:pStyle w:val="TextBody"/>
        <w:bidi w:val="0"/>
        <w:spacing w:before="120" w:after="0"/>
        <w:jc w:val="right"/>
        <w:rPr>
          <w:rFonts w:ascii="Times New Roman" w:hAnsi="Times New Roman"/>
          <w:sz w:val="20"/>
        </w:rPr>
      </w:pPr>
      <w:r>
        <w:rPr>
          <w:rFonts w:ascii="Times New Roman" w:hAnsi="Times New Roman"/>
          <w:b/>
          <w:sz w:val="20"/>
        </w:rPr>
        <w:t>T</w:t>
      </w:r>
      <w:r>
        <w:rPr>
          <w:rFonts w:ascii="Times New Roman" w:hAnsi="Times New Roman"/>
          <w:sz w:val="20"/>
        </w:rPr>
        <w:t xml:space="preserve"> +1 345 949 0100 </w:t>
      </w:r>
      <w:r>
        <w:rPr>
          <w:rFonts w:ascii="Times New Roman" w:hAnsi="Times New Roman"/>
          <w:b/>
          <w:sz w:val="20"/>
        </w:rPr>
        <w:t>F</w:t>
      </w:r>
      <w:r>
        <w:rPr>
          <w:rFonts w:ascii="Times New Roman" w:hAnsi="Times New Roman"/>
          <w:sz w:val="20"/>
        </w:rPr>
        <w:t xml:space="preserve"> +1 345 949 7886 www.walkersglobal.com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hereby consent to the use of this opinion as an exhibit to the Registration Statement and/or Prospectus Supplement and further consent to all references to us in the Registration Statement and/or Prospectus Supplement and any amendments thereto.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Yours faithfully</w:t>
            </w:r>
          </w:p>
        </w:tc>
      </w:tr>
      <w:tr>
        <w:trPr>
          <w:trHeight w:val="24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/s/ Walkers (Cayman) LLP</w:t>
            </w:r>
          </w:p>
        </w:tc>
      </w:tr>
      <w:tr>
        <w:trPr>
          <w:trHeight w:val="24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b/>
                <w:sz w:val="20"/>
              </w:rPr>
            </w:pPr>
            <w:r>
              <w:rPr>
                <w:rFonts w:ascii="Times New Roman" w:hAnsi="Times New Roman"/>
                <w:b/>
                <w:sz w:val="20"/>
              </w:rPr>
              <w:t>WALKERS (CAYMAN) LLP</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sz w:val="20"/>
        </w:rPr>
        <w:t xml:space="preserve">Walkers </w:t>
      </w:r>
    </w:p>
    <w:p>
      <w:pPr>
        <w:pStyle w:val="TextBody"/>
        <w:bidi w:val="0"/>
        <w:spacing w:before="120" w:after="0"/>
        <w:jc w:val="right"/>
        <w:rPr>
          <w:rFonts w:ascii="Times New Roman" w:hAnsi="Times New Roman"/>
          <w:sz w:val="20"/>
        </w:rPr>
      </w:pPr>
      <w:r>
        <w:rPr>
          <w:rFonts w:ascii="Times New Roman" w:hAnsi="Times New Roman"/>
          <w:sz w:val="20"/>
        </w:rPr>
        <w:t xml:space="preserve">190 Elgin Avenue, George Town </w:t>
      </w:r>
    </w:p>
    <w:p>
      <w:pPr>
        <w:pStyle w:val="TextBody"/>
        <w:bidi w:val="0"/>
        <w:spacing w:before="120" w:after="0"/>
        <w:jc w:val="right"/>
        <w:rPr>
          <w:rFonts w:ascii="Times New Roman" w:hAnsi="Times New Roman"/>
          <w:sz w:val="20"/>
        </w:rPr>
      </w:pPr>
      <w:r>
        <w:rPr>
          <w:rFonts w:ascii="Times New Roman" w:hAnsi="Times New Roman"/>
          <w:sz w:val="20"/>
        </w:rPr>
        <w:t xml:space="preserve">Grand Cayman KY1-9001, Cayman Islands </w:t>
      </w:r>
    </w:p>
    <w:p>
      <w:pPr>
        <w:pStyle w:val="TextBody"/>
        <w:bidi w:val="0"/>
        <w:spacing w:before="120" w:after="0"/>
        <w:jc w:val="right"/>
        <w:rPr>
          <w:rFonts w:ascii="Times New Roman" w:hAnsi="Times New Roman"/>
          <w:sz w:val="20"/>
        </w:rPr>
      </w:pPr>
      <w:r>
        <w:rPr>
          <w:rFonts w:ascii="Times New Roman" w:hAnsi="Times New Roman"/>
          <w:b/>
          <w:sz w:val="20"/>
        </w:rPr>
        <w:t>T</w:t>
      </w:r>
      <w:r>
        <w:rPr>
          <w:rFonts w:ascii="Times New Roman" w:hAnsi="Times New Roman"/>
          <w:sz w:val="20"/>
        </w:rPr>
        <w:t xml:space="preserve"> +1 345 949 0100 </w:t>
      </w:r>
      <w:r>
        <w:rPr>
          <w:rFonts w:ascii="Times New Roman" w:hAnsi="Times New Roman"/>
          <w:b/>
          <w:sz w:val="20"/>
        </w:rPr>
        <w:t>F</w:t>
      </w:r>
      <w:r>
        <w:rPr>
          <w:rFonts w:ascii="Times New Roman" w:hAnsi="Times New Roman"/>
          <w:sz w:val="20"/>
        </w:rPr>
        <w:t xml:space="preserve"> +1 345 949 7886 www.walkersglobal.com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SCHEDULE 1</w:t>
      </w:r>
    </w:p>
    <w:p>
      <w:pPr>
        <w:pStyle w:val="TextBody"/>
        <w:bidi w:val="0"/>
        <w:spacing w:before="240" w:after="0"/>
        <w:jc w:val="center"/>
        <w:rPr>
          <w:rFonts w:ascii="Times New Roman" w:hAnsi="Times New Roman"/>
          <w:b/>
          <w:sz w:val="20"/>
        </w:rPr>
      </w:pPr>
      <w:r>
        <w:rPr>
          <w:rFonts w:ascii="Times New Roman" w:hAnsi="Times New Roman"/>
          <w:b/>
          <w:sz w:val="20"/>
        </w:rPr>
        <w:t xml:space="preserve">LIST OF DOCUMENTS EXAMINED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The Certificate of Registration By Way of Continuation of the Company dated 16 July 2026, the Memorandum and Articles of Association of the Company adopted by special resolution on 9 February 2026 and effective as of 16 July 2026 (the “</w:t>
            </w:r>
            <w:r>
              <w:rPr>
                <w:rFonts w:ascii="Times New Roman" w:hAnsi="Times New Roman"/>
                <w:b/>
                <w:sz w:val="20"/>
              </w:rPr>
              <w:t>Memorandum and Articles of Association”</w:t>
            </w:r>
            <w:r>
              <w:rPr>
                <w:rFonts w:ascii="Times New Roman" w:hAnsi="Times New Roman"/>
                <w:sz w:val="20"/>
              </w:rPr>
              <w:t>) and each of the Register of Directors, Register of Officers and Register of Mortgages and Charges of the Company (together, the “</w:t>
            </w:r>
            <w:r>
              <w:rPr>
                <w:rFonts w:ascii="Times New Roman" w:hAnsi="Times New Roman"/>
                <w:b/>
                <w:sz w:val="20"/>
              </w:rPr>
              <w:t>Company Records”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Cayman Online Registry Information System (CORIS), the Cayman Islands’ General Registry’s online database, searched on 7 August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A Certificate of Good Standing dated 7 August 2026 in respect of the Company issued by the Registrar (the “</w:t>
            </w:r>
            <w:r>
              <w:rPr>
                <w:rFonts w:ascii="Times New Roman" w:hAnsi="Times New Roman"/>
                <w:b/>
                <w:sz w:val="20"/>
              </w:rPr>
              <w:t>Certificate of Good Standing</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Copies of the resolutions of the Board of Directors of the Company approving, among other things, the entry into the Documents, including, without limitation, copies 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written consent of the Board of Directors of the Company dated 6 August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written consent of the ATM Pricing Committee of the Board of Directors of the Company dated 7 May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written consent of the Board of Directors of the Company dated 16 July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written consent of the Board of Directors of the Company dated 6 February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written consent of the Board of Directors of the Company dated 10 February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(f)</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written consent of the Board of Directors of the Company dated 13 December 2025; </w:t>
            </w:r>
          </w:p>
        </w:tc>
      </w:tr>
    </w:tbl>
    <w:p>
      <w:pPr>
        <w:pStyle w:val="TextBody"/>
        <w:bidi w:val="0"/>
        <w:spacing w:before="120" w:after="0"/>
        <w:jc w:val="left"/>
        <w:rPr>
          <w:rFonts w:ascii="Times New Roman" w:hAnsi="Times New Roman"/>
          <w:sz w:val="20"/>
        </w:rPr>
      </w:pPr>
      <w:r>
        <w:rPr>
          <w:rFonts w:ascii="Times New Roman" w:hAnsi="Times New Roman"/>
          <w:sz w:val="20"/>
        </w:rPr>
        <w:t>(altogether, the “</w:t>
      </w:r>
      <w:r>
        <w:rPr>
          <w:rFonts w:ascii="Times New Roman" w:hAnsi="Times New Roman"/>
          <w:b/>
          <w:sz w:val="20"/>
        </w:rPr>
        <w:t>Resolutions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Copies of the following documents (the “</w:t>
            </w:r>
            <w:r>
              <w:rPr>
                <w:rFonts w:ascii="Times New Roman" w:hAnsi="Times New Roman"/>
                <w:b/>
                <w:sz w:val="20"/>
              </w:rPr>
              <w:t>Documents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Registration Statement on Form S-3ASR (Registration No. 333-293343), initially filed by the Company with the Commission on 10 February 2026, as amended by Post-Effective Amendment No. 1 thereto, containing a base prospectus relating to the offering, issuance and sale of an indeterminate amount of securities of the Company and a sales agreement prospectus supplement relating to the offering, issuance and sale of the Sales Agreement Shares in the ATM Offering (the “</w:t>
            </w:r>
            <w:r>
              <w:rPr>
                <w:rFonts w:ascii="Times New Roman" w:hAnsi="Times New Roman"/>
                <w:b/>
                <w:sz w:val="20"/>
              </w:rPr>
              <w:t>Prospectus Supplement”</w:t>
            </w:r>
            <w:r>
              <w:rPr>
                <w:rFonts w:ascii="Times New Roman" w:hAnsi="Times New Roman"/>
                <w:sz w:val="20"/>
              </w:rPr>
              <w:t xml:space="preserve">); and </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sz w:val="20"/>
        </w:rPr>
        <w:t xml:space="preserve">Walkers </w:t>
      </w:r>
    </w:p>
    <w:p>
      <w:pPr>
        <w:pStyle w:val="TextBody"/>
        <w:bidi w:val="0"/>
        <w:spacing w:before="120" w:after="0"/>
        <w:jc w:val="right"/>
        <w:rPr>
          <w:rFonts w:ascii="Times New Roman" w:hAnsi="Times New Roman"/>
          <w:sz w:val="20"/>
        </w:rPr>
      </w:pPr>
      <w:r>
        <w:rPr>
          <w:rFonts w:ascii="Times New Roman" w:hAnsi="Times New Roman"/>
          <w:sz w:val="20"/>
        </w:rPr>
        <w:t xml:space="preserve">190 Elgin Avenue, George Town </w:t>
      </w:r>
    </w:p>
    <w:p>
      <w:pPr>
        <w:pStyle w:val="TextBody"/>
        <w:bidi w:val="0"/>
        <w:spacing w:before="120" w:after="0"/>
        <w:jc w:val="right"/>
        <w:rPr>
          <w:rFonts w:ascii="Times New Roman" w:hAnsi="Times New Roman"/>
          <w:sz w:val="20"/>
        </w:rPr>
      </w:pPr>
      <w:r>
        <w:rPr>
          <w:rFonts w:ascii="Times New Roman" w:hAnsi="Times New Roman"/>
          <w:sz w:val="20"/>
        </w:rPr>
        <w:t xml:space="preserve">Grand Cayman KY1-9001, Cayman Islands </w:t>
      </w:r>
    </w:p>
    <w:p>
      <w:pPr>
        <w:pStyle w:val="TextBody"/>
        <w:bidi w:val="0"/>
        <w:spacing w:before="120" w:after="0"/>
        <w:jc w:val="right"/>
        <w:rPr>
          <w:rFonts w:ascii="Times New Roman" w:hAnsi="Times New Roman"/>
          <w:sz w:val="20"/>
        </w:rPr>
      </w:pPr>
      <w:r>
        <w:rPr>
          <w:rFonts w:ascii="Times New Roman" w:hAnsi="Times New Roman"/>
          <w:b/>
          <w:sz w:val="20"/>
        </w:rPr>
        <w:t>T</w:t>
      </w:r>
      <w:r>
        <w:rPr>
          <w:rFonts w:ascii="Times New Roman" w:hAnsi="Times New Roman"/>
          <w:sz w:val="20"/>
        </w:rPr>
        <w:t xml:space="preserve"> +1 345 949 0100 </w:t>
      </w:r>
      <w:r>
        <w:rPr>
          <w:rFonts w:ascii="Times New Roman" w:hAnsi="Times New Roman"/>
          <w:b/>
          <w:sz w:val="20"/>
        </w:rPr>
        <w:t>F</w:t>
      </w:r>
      <w:r>
        <w:rPr>
          <w:rFonts w:ascii="Times New Roman" w:hAnsi="Times New Roman"/>
          <w:sz w:val="20"/>
        </w:rPr>
        <w:t xml:space="preserve"> +1 345 949 7886 www.walkersglobal.com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executed amended and restated Sales Agreement dated 10 August 2026 between the Company and TD Securities (USA) LLC relating to the offering, issuance and sale of the Sales Agreement Shares (the “</w:t>
            </w:r>
            <w:r>
              <w:rPr>
                <w:rFonts w:ascii="Times New Roman" w:hAnsi="Times New Roman"/>
                <w:b/>
                <w:sz w:val="20"/>
              </w:rPr>
              <w:t>Sales Agreement”</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sz w:val="20"/>
        </w:rPr>
        <w:t xml:space="preserve">Walkers </w:t>
      </w:r>
    </w:p>
    <w:p>
      <w:pPr>
        <w:pStyle w:val="TextBody"/>
        <w:bidi w:val="0"/>
        <w:spacing w:before="120" w:after="0"/>
        <w:jc w:val="right"/>
        <w:rPr>
          <w:rFonts w:ascii="Times New Roman" w:hAnsi="Times New Roman"/>
          <w:sz w:val="20"/>
        </w:rPr>
      </w:pPr>
      <w:r>
        <w:rPr>
          <w:rFonts w:ascii="Times New Roman" w:hAnsi="Times New Roman"/>
          <w:sz w:val="20"/>
        </w:rPr>
        <w:t xml:space="preserve">190 Elgin Avenue, George Town </w:t>
      </w:r>
    </w:p>
    <w:p>
      <w:pPr>
        <w:pStyle w:val="TextBody"/>
        <w:bidi w:val="0"/>
        <w:spacing w:before="120" w:after="0"/>
        <w:jc w:val="right"/>
        <w:rPr>
          <w:rFonts w:ascii="Times New Roman" w:hAnsi="Times New Roman"/>
          <w:sz w:val="20"/>
        </w:rPr>
      </w:pPr>
      <w:r>
        <w:rPr>
          <w:rFonts w:ascii="Times New Roman" w:hAnsi="Times New Roman"/>
          <w:sz w:val="20"/>
        </w:rPr>
        <w:t xml:space="preserve">Grand Cayman KY1-9001, Cayman Islands </w:t>
      </w:r>
    </w:p>
    <w:p>
      <w:pPr>
        <w:pStyle w:val="TextBody"/>
        <w:bidi w:val="0"/>
        <w:spacing w:before="120" w:after="0"/>
        <w:jc w:val="right"/>
        <w:rPr>
          <w:rFonts w:ascii="Times New Roman" w:hAnsi="Times New Roman"/>
          <w:sz w:val="20"/>
        </w:rPr>
      </w:pPr>
      <w:r>
        <w:rPr>
          <w:rFonts w:ascii="Times New Roman" w:hAnsi="Times New Roman"/>
          <w:b/>
          <w:sz w:val="20"/>
        </w:rPr>
        <w:t>T</w:t>
      </w:r>
      <w:r>
        <w:rPr>
          <w:rFonts w:ascii="Times New Roman" w:hAnsi="Times New Roman"/>
          <w:sz w:val="20"/>
        </w:rPr>
        <w:t xml:space="preserve"> +1 345 949 0100 </w:t>
      </w:r>
      <w:r>
        <w:rPr>
          <w:rFonts w:ascii="Times New Roman" w:hAnsi="Times New Roman"/>
          <w:b/>
          <w:sz w:val="20"/>
        </w:rPr>
        <w:t>F</w:t>
      </w:r>
      <w:r>
        <w:rPr>
          <w:rFonts w:ascii="Times New Roman" w:hAnsi="Times New Roman"/>
          <w:sz w:val="20"/>
        </w:rPr>
        <w:t xml:space="preserve"> +1 345 949 7886 www.walkersglobal.com </w:t>
      </w:r>
    </w:p>
    <w:p>
      <w:pPr>
        <w:pStyle w:val="TextBody"/>
        <w:bidi w:val="0"/>
        <w:spacing w:before="0" w:after="0"/>
        <w:jc w:val="right"/>
        <w:rPr>
          <w:rFonts w:ascii="Times New Roman" w:hAnsi="Times New Roman"/>
          <w:b/>
          <w:sz w:val="20"/>
        </w:rPr>
      </w:pPr>
      <w:bookmarkStart w:id="36" w:name="d161734dex232.htm"/>
      <w:bookmarkStart w:id="37" w:name="ksd161734dex232"/>
      <w:bookmarkEnd w:id="36"/>
      <w:bookmarkEnd w:id="37"/>
      <w:r>
        <w:rPr>
          <w:rFonts w:ascii="Times New Roman" w:hAnsi="Times New Roman"/>
          <w:b/>
          <w:sz w:val="20"/>
        </w:rPr>
        <w:t xml:space="preserve">Exhibit 23.2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reference to our firm under the caption “Experts” in the Post-Effective Amendment No. 1 to the Registration Statement (Form S-3ASR No. 333-293343) and related Prospectus of Damora Therapeutics, Inc. for the registration of an indeterminate amount of ordinary shares, preferred shares, debt securities, warrants and/or units and to the incorporation by reference therein of our report dated March 19, 2026, with respect to the consolidated financial statements of Damora Therapeutics, Inc. included in its Annual Report (Form 10-K) for the year ended December 31, 2025, filed with the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 xml:space="preserve">/s/ EY Godkendt Revisionspartnerselskab </w:t>
      </w:r>
    </w:p>
    <w:p>
      <w:pPr>
        <w:pStyle w:val="TextBody"/>
        <w:bidi w:val="0"/>
        <w:spacing w:before="240" w:after="0"/>
        <w:jc w:val="left"/>
        <w:rPr>
          <w:rFonts w:ascii="Times New Roman" w:hAnsi="Times New Roman"/>
          <w:sz w:val="20"/>
        </w:rPr>
      </w:pPr>
      <w:r>
        <w:rPr>
          <w:rFonts w:ascii="Times New Roman" w:hAnsi="Times New Roman"/>
          <w:sz w:val="20"/>
        </w:rPr>
        <w:t xml:space="preserve">Copenhagen, Denmark </w:t>
      </w:r>
    </w:p>
    <w:p>
      <w:pPr>
        <w:pStyle w:val="TextBody"/>
        <w:bidi w:val="0"/>
        <w:spacing w:before="0" w:after="0"/>
        <w:jc w:val="left"/>
        <w:rPr>
          <w:rFonts w:ascii="Times New Roman" w:hAnsi="Times New Roman"/>
          <w:sz w:val="20"/>
        </w:rPr>
      </w:pPr>
      <w:r>
        <w:rPr>
          <w:rFonts w:ascii="Times New Roman" w:hAnsi="Times New Roman"/>
          <w:sz w:val="20"/>
        </w:rPr>
        <w:t xml:space="preserve">August 10, 2026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800315/000119312526115922/dmra-20251231.htm" TargetMode="External"/><Relationship Id="rId4" Type="http://schemas.openxmlformats.org/officeDocument/2006/relationships/hyperlink" Target="http://www.sec.gov/Archives/edgar/data/../../../ix?doc=/Archives/edgar/data/1800315/000119312526191429/dmra-20260429.htm" TargetMode="External"/><Relationship Id="rId5" Type="http://schemas.openxmlformats.org/officeDocument/2006/relationships/hyperlink" Target="http://www.sec.gov/Archives/edgar/data/../../../ix?doc=/Archives/edgar/data/1800315/000119312526219327/dmra-20260331.htm" TargetMode="External"/><Relationship Id="rId6" Type="http://schemas.openxmlformats.org/officeDocument/2006/relationships/hyperlink" Target="http://www.sec.gov/Archives/edgar/data/../../../ix?doc=/Archives/edgar/data/1800315/000119312526342307/dmra-20260630.htm" TargetMode="External"/><Relationship Id="rId7" Type="http://schemas.openxmlformats.org/officeDocument/2006/relationships/hyperlink" Target="http://www.sec.gov/Archives/edgar/data/../../../ix?doc=/Archives/edgar/data/1800315/000119312526003490/glto-20251231.htm" TargetMode="External"/><Relationship Id="rId8" Type="http://schemas.openxmlformats.org/officeDocument/2006/relationships/hyperlink" Target="http://www.sec.gov/Archives/edgar/data/../../../ix?doc=/Archives/edgar/data/1800315/000119312526043741/glto-20260206.htm" TargetMode="External"/><Relationship Id="rId9" Type="http://schemas.openxmlformats.org/officeDocument/2006/relationships/hyperlink" Target="http://www.sec.gov/Archives/edgar/data/../../../ix?doc=/Archives/edgar/data/1800315/000119312526046817/d38009d8k.htm" TargetMode="External"/><Relationship Id="rId10" Type="http://schemas.openxmlformats.org/officeDocument/2006/relationships/hyperlink" Target="http://www.sec.gov/Archives/edgar/data/../../../ix?doc=/Archives/edgar/data/1800315/000119312526099404/dmra-20260306.htm" TargetMode="External"/><Relationship Id="rId11" Type="http://schemas.openxmlformats.org/officeDocument/2006/relationships/hyperlink" Target="http://www.sec.gov/Archives/edgar/data/../../../ix?doc=/Archives/edgar/data/1800315/000119312526118699/dmra-20260320.htm" TargetMode="External"/><Relationship Id="rId12" Type="http://schemas.openxmlformats.org/officeDocument/2006/relationships/hyperlink" Target="http://www.sec.gov/Archives/edgar/data/../../../ix?doc=/Archives/edgar/data/1800315/000119312526163909/dmra-20260417.htm" TargetMode="External"/><Relationship Id="rId13" Type="http://schemas.openxmlformats.org/officeDocument/2006/relationships/hyperlink" Target="http://www.sec.gov/Archives/edgar/data/../../../ix?doc=/Archives/edgar/data/1800315/000119312526203913/dmra-20260428.htm" TargetMode="External"/><Relationship Id="rId14" Type="http://schemas.openxmlformats.org/officeDocument/2006/relationships/hyperlink" Target="http://www.sec.gov/Archives/edgar/data/../../../ix?doc=/Archives/edgar/data/1800315/000119312526274093/dmra-20260428.htm" TargetMode="External"/><Relationship Id="rId15" Type="http://schemas.openxmlformats.org/officeDocument/2006/relationships/hyperlink" Target="http://www.sec.gov/Archives/edgar/data/../../../ix?doc=/Archives/edgar/data/1800315/000119312526308899/dmra-20260716.htm" TargetMode="External"/><Relationship Id="rId16" Type="http://schemas.openxmlformats.org/officeDocument/2006/relationships/hyperlink" Target="http://www.sec.gov/Archives/edgar/data/1800315/000119312520275442/d49896d8a12b.htm" TargetMode="External"/><Relationship Id="rId17" Type="http://schemas.openxmlformats.org/officeDocument/2006/relationships/hyperlink" Target="http://www.sec.gov/Archives/edgar/data/1800315/000119312526342406/d135826d8a12ba.htm" TargetMode="External"/><Relationship Id="rId18" Type="http://schemas.openxmlformats.org/officeDocument/2006/relationships/image" Target="media/image1.jpeg"/><Relationship Id="rId19" Type="http://schemas.openxmlformats.org/officeDocument/2006/relationships/hyperlink" Target="http://www.sec.gov/Archives/edgar/data/../../../ix?doc=/Archives/edgar/data/1800315/000119312526115922/dmra-20251231.htm" TargetMode="External"/><Relationship Id="rId20" Type="http://schemas.openxmlformats.org/officeDocument/2006/relationships/hyperlink" Target="http://www.sec.gov/Archives/edgar/data/../../../ix?doc=/Archives/edgar/data/1800315/000119312526191429/dmra-20260429.htm" TargetMode="External"/><Relationship Id="rId21" Type="http://schemas.openxmlformats.org/officeDocument/2006/relationships/hyperlink" Target="http://www.sec.gov/Archives/edgar/data/../../../ix?doc=/Archives/edgar/data/1800315/000119312526219327/dmra-20260331.htm" TargetMode="External"/><Relationship Id="rId22" Type="http://schemas.openxmlformats.org/officeDocument/2006/relationships/hyperlink" Target="http://www.sec.gov/Archives/edgar/data/../../../ix?doc=/Archives/edgar/data/1800315/000119312526342307/dmra-20260630.htm" TargetMode="External"/><Relationship Id="rId23" Type="http://schemas.openxmlformats.org/officeDocument/2006/relationships/hyperlink" Target="http://www.sec.gov/Archives/edgar/data/../../../ix?doc=/Archives/edgar/data/1800315/000119312526003490/glto-20251231.htm" TargetMode="External"/><Relationship Id="rId24" Type="http://schemas.openxmlformats.org/officeDocument/2006/relationships/hyperlink" Target="http://www.sec.gov/Archives/edgar/data/../../../ix?doc=/Archives/edgar/data/1800315/000119312526043741/glto-20260206.htm" TargetMode="External"/><Relationship Id="rId25" Type="http://schemas.openxmlformats.org/officeDocument/2006/relationships/hyperlink" Target="http://www.sec.gov/Archives/edgar/data/../../../ix?doc=/Archives/edgar/data/1800315/000119312526046817/d38009d8k.htm" TargetMode="External"/><Relationship Id="rId26" Type="http://schemas.openxmlformats.org/officeDocument/2006/relationships/hyperlink" Target="http://www.sec.gov/Archives/edgar/data/../../../ix?doc=/Archives/edgar/data/1800315/000119312526099404/dmra-20260306.htm" TargetMode="External"/><Relationship Id="rId27" Type="http://schemas.openxmlformats.org/officeDocument/2006/relationships/hyperlink" Target="http://www.sec.gov/Archives/edgar/data/../../../ix?doc=/Archives/edgar/data/1800315/000119312526118699/dmra-20260320.htm" TargetMode="External"/><Relationship Id="rId28" Type="http://schemas.openxmlformats.org/officeDocument/2006/relationships/hyperlink" Target="http://www.sec.gov/Archives/edgar/data/../../../ix?doc=/Archives/edgar/data/1800315/000119312526163909/dmra-20260417.htm" TargetMode="External"/><Relationship Id="rId29" Type="http://schemas.openxmlformats.org/officeDocument/2006/relationships/hyperlink" Target="http://www.sec.gov/Archives/edgar/data/../../../ix?doc=/Archives/edgar/data/1800315/000119312526203913/dmra-20260428.htm" TargetMode="External"/><Relationship Id="rId30" Type="http://schemas.openxmlformats.org/officeDocument/2006/relationships/hyperlink" Target="http://www.sec.gov/Archives/edgar/data/../../../ix?doc=/Archives/edgar/data/1800315/000119312526274093/dmra-20260428.htm" TargetMode="External"/><Relationship Id="rId31" Type="http://schemas.openxmlformats.org/officeDocument/2006/relationships/hyperlink" Target="http://www.sec.gov/Archives/edgar/data/../../../ix?doc=/Archives/edgar/data/1800315/000119312526308899/dmra-20260716.htm" TargetMode="External"/><Relationship Id="rId32" Type="http://schemas.openxmlformats.org/officeDocument/2006/relationships/hyperlink" Target="http://www.sec.gov/Archives/edgar/data/1800315/000119312520275442/d49896d8a12b.htm" TargetMode="External"/><Relationship Id="rId33" Type="http://schemas.openxmlformats.org/officeDocument/2006/relationships/hyperlink" Target="http://www.sec.gov/Archives/edgar/data/1800315/000119312526342406/d135826d8a12ba.htm" TargetMode="External"/><Relationship Id="rId34" Type="http://schemas.openxmlformats.org/officeDocument/2006/relationships/image" Target="media/image1.jpeg"/><Relationship Id="rId35" Type="http://schemas.openxmlformats.org/officeDocument/2006/relationships/hyperlink" Target="http://www.sec.gov/Archives/edgar/data/1800315/000119312526308899/dmra-ex2_1.htm" TargetMode="External"/><Relationship Id="rId36" Type="http://schemas.openxmlformats.org/officeDocument/2006/relationships/hyperlink" Target="http://www.sec.gov/Archives/edgar/data/1800315/000119312526308899/dmra-ex3_1.htm" TargetMode="External"/><Relationship Id="rId37" Type="http://schemas.openxmlformats.org/officeDocument/2006/relationships/hyperlink" Target="http://www.sec.gov/Archives/edgar/data/1800315/000119312526308899/dmra-ex3_2.htm" TargetMode="External"/><Relationship Id="rId38" Type="http://schemas.openxmlformats.org/officeDocument/2006/relationships/hyperlink" Target="http://www.sec.gov/Archives/edgar/data/1800315/000119312526308899/dmra-ex3_3.htm" TargetMode="External"/><Relationship Id="rId39" Type="http://schemas.openxmlformats.org/officeDocument/2006/relationships/hyperlink" Target="http://www.sec.gov/Archives/edgar/data/1800315/000119312526308899/dmra-ex3_4.htm" TargetMode="External"/><Relationship Id="rId40" Type="http://schemas.openxmlformats.org/officeDocument/2006/relationships/hyperlink" Target="http://www.sec.gov/Archives/edgar/data/1800315/000119312525273342/d53983dex102.htm" TargetMode="External"/><Relationship Id="rId41" Type="http://schemas.openxmlformats.org/officeDocument/2006/relationships/hyperlink" Target="http://www.sec.gov/Archives/edgar/data/1800315/000119312526308899/dmra-ex10_1.htm" TargetMode="External"/><Relationship Id="rId42" Type="http://schemas.openxmlformats.org/officeDocument/2006/relationships/hyperlink" Target="http://www.sec.gov/Archives/edgar/data/../../../ix?doc=/Archives/edgar/data/1800315/000119312526044613/d291219dexfilingfees.htm" TargetMode="External"/><Relationship Id="rId43" Type="http://schemas.openxmlformats.org/officeDocument/2006/relationships/image" Target="media/image2.jpeg"/><Relationship Id="rId44" Type="http://schemas.openxmlformats.org/officeDocument/2006/relationships/image" Target="media/image2.jpeg"/><Relationship Id="rId45" Type="http://schemas.openxmlformats.org/officeDocument/2006/relationships/image" Target="media/image2.jpeg"/><Relationship Id="rId46" Type="http://schemas.openxmlformats.org/officeDocument/2006/relationships/image" Target="media/image2.jpeg"/><Relationship Id="rId47" Type="http://schemas.openxmlformats.org/officeDocument/2006/relationships/image" Target="media/image2.jpeg"/><Relationship Id="rId48" Type="http://schemas.openxmlformats.org/officeDocument/2006/relationships/image" Target="media/image2.jpeg"/><Relationship Id="rId49" Type="http://schemas.openxmlformats.org/officeDocument/2006/relationships/image" Target="media/image2.jpeg"/><Relationship Id="rId50" Type="http://schemas.openxmlformats.org/officeDocument/2006/relationships/image" Target="media/image2.jpeg"/><Relationship Id="rId51" Type="http://schemas.openxmlformats.org/officeDocument/2006/relationships/image" Target="media/image2.jpeg"/><Relationship Id="rId52" Type="http://schemas.openxmlformats.org/officeDocument/2006/relationships/fontTable" Target="fontTable.xml"/><Relationship Id="rId5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161</Pages>
  <Words>77612</Words>
  <Characters>405739</Characters>
  <CharactersWithSpaces>484209</CharactersWithSpaces>
  <Paragraphs>4122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EX-23.2</dc:title>
</cp:coreProperties>
</file>