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Cheng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DAMORA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 BLDG 23, STE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Damora Therapeutics, Inc.</w:t>
              </w:r>
            </w:hyperlink>
            <w:r>
              <w:rPr/>
              <w:t xml:space="preserve"> [ </w:t>
            </w:r>
            <w:r>
              <w:rPr>
                <w:rFonts w:ascii="Times;serif" w:hAnsi="Times;serif"/>
                <w:color w:val="0000FF"/>
                <w:sz w:val="24"/>
                <w:shd w:fill="FFFFFF" w:val="clear"/>
              </w:rPr>
              <w:t>DMRA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Winslow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mra-ex24.htm"/>
      <w:bookmarkStart w:id="3" w:name="ksdmraex24"/>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24</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Garrett Winslow, Brian Burkavage, Julia Foster, Lauren Piunti, Ryan A. Murr, Branden C. Berns and Melanie Neary,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Damora Therapeutics,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Andrew Cheng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8307" TargetMode="External"/><Relationship Id="rId3" Type="http://schemas.openxmlformats.org/officeDocument/2006/relationships/hyperlink" Target="http://www.sec.gov/cgi-bin/browse-edgar?action=getcompany&amp;CIK=00018003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927</Words>
  <Characters>4934</Characters>
  <CharactersWithSpaces>5807</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