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Winslow Garrett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DAMORA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BLDG 23, STE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Damora Therapeutics, Inc.</w:t>
              </w:r>
            </w:hyperlink>
            <w:r>
              <w:rPr/>
              <w:t xml:space="preserve"> [ </w:t>
            </w:r>
            <w:r>
              <w:rPr>
                <w:rFonts w:ascii="Times;serif" w:hAnsi="Times;serif"/>
                <w:color w:val="0000FF"/>
                <w:sz w:val="24"/>
                <w:shd w:fill="FFFFFF" w:val="clear"/>
              </w:rPr>
              <w:t>DMRA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2,534</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29.98</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at settlement, one share of common stock of the Issuer. This transaction represents the settlement of RSUs in shares of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to cover tax obligations in connection with the vesting of the RSUs listed in Table II. This sale is mandated by the Issuer's election under its 2020 Equity Incentive Plan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award was granted on January 3, 2024. One-third of the RSUs subject to the award vested on January 3, 2025 and one-sixth of the RSUs subject to the award award will vest ratably every six months thereafter, assuming continued employment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Winslow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773" TargetMode="External"/><Relationship Id="rId5" Type="http://schemas.openxmlformats.org/officeDocument/2006/relationships/hyperlink" Target="http://www.sec.gov/cgi-bin/browse-edgar?action=getcompany&amp;CIK=0001800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3816</Characters>
  <CharactersWithSpaces>4454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