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135820ds8pos.htm"/>
      <w:bookmarkStart w:id="1" w:name="ksd135820ds8pos"/>
      <w:bookmarkEnd w:id="0"/>
      <w:bookmarkEnd w:id="1"/>
      <w:r>
        <w:rPr>
          <w:rFonts w:ascii="Times New Roman" w:hAnsi="Times New Roman"/>
          <w:b/>
          <w:sz w:val="20"/>
        </w:rPr>
        <w:t xml:space="preserve">As filed with the Securities and Exchange Commission on August 10, 2026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2"/>
        </w:rPr>
      </w:pPr>
      <w:r>
        <w:rPr>
          <w:rFonts w:ascii="Times New Roman" w:hAnsi="Times New Roman"/>
          <w:b/>
          <w:sz w:val="32"/>
        </w:rPr>
        <w:t xml:space="preserve">POST-EFFECTIVE AMENDMENT NO. 1 TO </w:t>
      </w:r>
    </w:p>
    <w:p>
      <w:pPr>
        <w:pStyle w:val="TextBody"/>
        <w:bidi w:val="0"/>
        <w:spacing w:before="0" w:after="0"/>
        <w:jc w:val="center"/>
        <w:rPr>
          <w:rFonts w:ascii="Times New Roman" w:hAnsi="Times New Roman"/>
          <w:b/>
          <w:sz w:val="32"/>
        </w:rPr>
      </w:pPr>
      <w:r>
        <w:rPr>
          <w:rFonts w:ascii="Times New Roman" w:hAnsi="Times New Roman"/>
          <w:b/>
          <w:sz w:val="32"/>
        </w:rPr>
        <w:t xml:space="preserve">Form S-8 Registration Statement No. 333-249852 </w:t>
      </w:r>
    </w:p>
    <w:p>
      <w:pPr>
        <w:pStyle w:val="TextBody"/>
        <w:bidi w:val="0"/>
        <w:spacing w:before="0" w:after="0"/>
        <w:jc w:val="center"/>
        <w:rPr>
          <w:rFonts w:ascii="Times New Roman" w:hAnsi="Times New Roman"/>
          <w:b/>
          <w:sz w:val="32"/>
        </w:rPr>
      </w:pPr>
      <w:r>
        <w:rPr>
          <w:rFonts w:ascii="Times New Roman" w:hAnsi="Times New Roman"/>
          <w:b/>
          <w:sz w:val="32"/>
        </w:rPr>
        <w:t xml:space="preserve">Form S-8 Registration Statement No. 333-254805 </w:t>
      </w:r>
    </w:p>
    <w:p>
      <w:pPr>
        <w:pStyle w:val="TextBody"/>
        <w:bidi w:val="0"/>
        <w:spacing w:before="0" w:after="0"/>
        <w:jc w:val="center"/>
        <w:rPr>
          <w:rFonts w:ascii="Times New Roman" w:hAnsi="Times New Roman"/>
          <w:b/>
          <w:sz w:val="32"/>
        </w:rPr>
      </w:pPr>
      <w:r>
        <w:rPr>
          <w:rFonts w:ascii="Times New Roman" w:hAnsi="Times New Roman"/>
          <w:b/>
          <w:sz w:val="32"/>
        </w:rPr>
        <w:t xml:space="preserve">Form S-8 Registration Statement No. 333-262823 </w:t>
      </w:r>
    </w:p>
    <w:p>
      <w:pPr>
        <w:pStyle w:val="TextBody"/>
        <w:bidi w:val="0"/>
        <w:spacing w:before="0" w:after="0"/>
        <w:jc w:val="center"/>
        <w:rPr>
          <w:rFonts w:ascii="Times New Roman" w:hAnsi="Times New Roman"/>
          <w:b/>
          <w:sz w:val="32"/>
        </w:rPr>
      </w:pPr>
      <w:r>
        <w:rPr>
          <w:rFonts w:ascii="Times New Roman" w:hAnsi="Times New Roman"/>
          <w:b/>
          <w:sz w:val="32"/>
        </w:rPr>
        <w:t xml:space="preserve">Form S-8 Registration Statement No. 333-270380 </w:t>
      </w:r>
    </w:p>
    <w:p>
      <w:pPr>
        <w:pStyle w:val="TextBody"/>
        <w:bidi w:val="0"/>
        <w:spacing w:before="0" w:after="0"/>
        <w:jc w:val="center"/>
        <w:rPr>
          <w:rFonts w:ascii="Times New Roman" w:hAnsi="Times New Roman"/>
          <w:b/>
          <w:sz w:val="32"/>
        </w:rPr>
      </w:pPr>
      <w:r>
        <w:rPr>
          <w:rFonts w:ascii="Times New Roman" w:hAnsi="Times New Roman"/>
          <w:b/>
          <w:sz w:val="32"/>
        </w:rPr>
        <w:t xml:space="preserve">Form S-8 Registration Statement No. 333-277792 </w:t>
      </w:r>
    </w:p>
    <w:p>
      <w:pPr>
        <w:pStyle w:val="TextBody"/>
        <w:bidi w:val="0"/>
        <w:spacing w:before="0" w:after="0"/>
        <w:jc w:val="center"/>
        <w:rPr>
          <w:rFonts w:ascii="Times New Roman" w:hAnsi="Times New Roman"/>
          <w:b/>
          <w:sz w:val="32"/>
        </w:rPr>
      </w:pPr>
      <w:r>
        <w:rPr>
          <w:rFonts w:ascii="Times New Roman" w:hAnsi="Times New Roman"/>
          <w:b/>
          <w:sz w:val="32"/>
        </w:rPr>
        <w:t xml:space="preserve">Form S-8 Registration Statement No. 333-285920 </w:t>
      </w:r>
    </w:p>
    <w:p>
      <w:pPr>
        <w:pStyle w:val="TextBody"/>
        <w:bidi w:val="0"/>
        <w:spacing w:before="0" w:after="0"/>
        <w:jc w:val="center"/>
        <w:rPr>
          <w:rFonts w:ascii="Times New Roman" w:hAnsi="Times New Roman"/>
          <w:b/>
          <w:sz w:val="32"/>
        </w:rPr>
      </w:pPr>
      <w:r>
        <w:rPr>
          <w:rFonts w:ascii="Times New Roman" w:hAnsi="Times New Roman"/>
          <w:b/>
          <w:sz w:val="32"/>
        </w:rPr>
        <w:t xml:space="preserve">Form S-8 Registration Statement No. 333-292564 </w:t>
      </w:r>
    </w:p>
    <w:p>
      <w:pPr>
        <w:pStyle w:val="TextBody"/>
        <w:bidi w:val="0"/>
        <w:spacing w:before="0" w:after="0"/>
        <w:jc w:val="center"/>
        <w:rPr>
          <w:rFonts w:ascii="Times New Roman" w:hAnsi="Times New Roman"/>
          <w:b/>
          <w:sz w:val="32"/>
        </w:rPr>
      </w:pPr>
      <w:r>
        <w:rPr>
          <w:rFonts w:ascii="Times New Roman" w:hAnsi="Times New Roman"/>
          <w:b/>
          <w:sz w:val="32"/>
        </w:rPr>
        <w:t xml:space="preserve">Form S-8 Registration Statement No. 333-294492 </w:t>
      </w:r>
    </w:p>
    <w:p>
      <w:pPr>
        <w:pStyle w:val="TextBody"/>
        <w:bidi w:val="0"/>
        <w:spacing w:before="0" w:after="0"/>
        <w:jc w:val="center"/>
        <w:rPr>
          <w:rFonts w:ascii="Times New Roman" w:hAnsi="Times New Roman"/>
          <w:b/>
          <w:sz w:val="32"/>
        </w:rPr>
      </w:pPr>
      <w:r>
        <w:rPr>
          <w:rFonts w:ascii="Times New Roman" w:hAnsi="Times New Roman"/>
          <w:b/>
          <w:sz w:val="32"/>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Damora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Cayman Islands</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37-1957007</w:t>
            </w:r>
          </w:p>
        </w:tc>
      </w:tr>
      <w:tr>
        <w:trPr/>
        <w:tc>
          <w:tcPr>
            <w:tcW w:w="5154"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221 Crescent Street </w:t>
      </w:r>
    </w:p>
    <w:p>
      <w:pPr>
        <w:pStyle w:val="TextBody"/>
        <w:bidi w:val="0"/>
        <w:spacing w:before="0" w:after="0"/>
        <w:jc w:val="center"/>
        <w:rPr>
          <w:rFonts w:ascii="Times New Roman" w:hAnsi="Times New Roman"/>
          <w:b/>
          <w:sz w:val="20"/>
        </w:rPr>
      </w:pPr>
      <w:r>
        <w:rPr>
          <w:rFonts w:ascii="Times New Roman" w:hAnsi="Times New Roman"/>
          <w:b/>
          <w:sz w:val="20"/>
        </w:rPr>
        <w:t xml:space="preserve">Building 23, Suite 105 </w:t>
      </w:r>
    </w:p>
    <w:p>
      <w:pPr>
        <w:pStyle w:val="TextBody"/>
        <w:bidi w:val="0"/>
        <w:spacing w:before="0" w:after="0"/>
        <w:jc w:val="center"/>
        <w:rPr>
          <w:rFonts w:ascii="Times New Roman" w:hAnsi="Times New Roman"/>
          <w:b/>
          <w:sz w:val="20"/>
        </w:rPr>
      </w:pPr>
      <w:r>
        <w:rPr>
          <w:rFonts w:ascii="Times New Roman" w:hAnsi="Times New Roman"/>
          <w:b/>
          <w:sz w:val="20"/>
        </w:rPr>
        <w:t xml:space="preserve">Waltham, MA 02453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Zip Code) </w:t>
      </w:r>
    </w:p>
    <w:p>
      <w:pPr>
        <w:pStyle w:val="TextBody"/>
        <w:bidi w:val="0"/>
        <w:spacing w:before="240" w:after="0"/>
        <w:jc w:val="center"/>
        <w:rPr>
          <w:rFonts w:ascii="Times New Roman" w:hAnsi="Times New Roman"/>
          <w:b/>
          <w:sz w:val="20"/>
        </w:rPr>
      </w:pPr>
      <w:r>
        <w:rPr>
          <w:rFonts w:ascii="Times New Roman" w:hAnsi="Times New Roman"/>
          <w:b/>
          <w:sz w:val="20"/>
        </w:rPr>
        <w:t xml:space="preserve">Damora Therapeutics, Inc. 2026 Equity Incentive Plan </w:t>
      </w:r>
    </w:p>
    <w:p>
      <w:pPr>
        <w:pStyle w:val="TextBody"/>
        <w:bidi w:val="0"/>
        <w:spacing w:before="0" w:after="0"/>
        <w:jc w:val="center"/>
        <w:rPr>
          <w:rFonts w:ascii="Times New Roman" w:hAnsi="Times New Roman"/>
          <w:b/>
          <w:sz w:val="20"/>
        </w:rPr>
      </w:pPr>
      <w:r>
        <w:rPr>
          <w:rFonts w:ascii="Times New Roman" w:hAnsi="Times New Roman"/>
          <w:b/>
          <w:sz w:val="20"/>
        </w:rPr>
        <w:t xml:space="preserve">Damora Therapeutics, Inc. 2026 Employee Stock Purchase Plan </w:t>
      </w:r>
    </w:p>
    <w:p>
      <w:pPr>
        <w:pStyle w:val="TextBody"/>
        <w:bidi w:val="0"/>
        <w:spacing w:before="0" w:after="0"/>
        <w:jc w:val="center"/>
        <w:rPr>
          <w:rFonts w:ascii="Times New Roman" w:hAnsi="Times New Roman"/>
          <w:b/>
          <w:sz w:val="20"/>
        </w:rPr>
      </w:pPr>
      <w:r>
        <w:rPr>
          <w:rFonts w:ascii="Times New Roman" w:hAnsi="Times New Roman"/>
          <w:b/>
          <w:sz w:val="20"/>
        </w:rPr>
        <w:t xml:space="preserve">Damora Therapeutics, Inc. 2025 Equity Incentive Plan </w:t>
      </w:r>
    </w:p>
    <w:p>
      <w:pPr>
        <w:pStyle w:val="TextBody"/>
        <w:bidi w:val="0"/>
        <w:spacing w:before="0" w:after="0"/>
        <w:jc w:val="center"/>
        <w:rPr>
          <w:rFonts w:ascii="Times New Roman" w:hAnsi="Times New Roman"/>
          <w:b/>
          <w:sz w:val="20"/>
        </w:rPr>
      </w:pPr>
      <w:r>
        <w:rPr>
          <w:rFonts w:ascii="Times New Roman" w:hAnsi="Times New Roman"/>
          <w:b/>
          <w:sz w:val="20"/>
        </w:rPr>
        <w:t xml:space="preserve">Damora Therapeutics, Inc. 2022 Inducement Plan </w:t>
      </w:r>
    </w:p>
    <w:p>
      <w:pPr>
        <w:pStyle w:val="TextBody"/>
        <w:bidi w:val="0"/>
        <w:spacing w:before="0" w:after="0"/>
        <w:jc w:val="center"/>
        <w:rPr>
          <w:rFonts w:ascii="Times New Roman" w:hAnsi="Times New Roman"/>
          <w:b/>
          <w:sz w:val="20"/>
        </w:rPr>
      </w:pPr>
      <w:r>
        <w:rPr>
          <w:rFonts w:ascii="Times New Roman" w:hAnsi="Times New Roman"/>
          <w:b/>
          <w:sz w:val="20"/>
        </w:rPr>
        <w:t xml:space="preserve">Damora Therapeutics, Inc. 2020 Equity Incentive Plan </w:t>
      </w:r>
    </w:p>
    <w:p>
      <w:pPr>
        <w:pStyle w:val="TextBody"/>
        <w:bidi w:val="0"/>
        <w:spacing w:before="0" w:after="0"/>
        <w:jc w:val="center"/>
        <w:rPr>
          <w:rFonts w:ascii="Times New Roman" w:hAnsi="Times New Roman"/>
          <w:b/>
          <w:sz w:val="20"/>
        </w:rPr>
      </w:pPr>
      <w:r>
        <w:rPr>
          <w:rFonts w:ascii="Times New Roman" w:hAnsi="Times New Roman"/>
          <w:b/>
          <w:sz w:val="20"/>
        </w:rPr>
        <w:t xml:space="preserve">Damora Therapeutics, Inc. 2020 Stock Option and Grant Plan </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 of the plans) </w:t>
      </w:r>
    </w:p>
    <w:p>
      <w:pPr>
        <w:pStyle w:val="TextBody"/>
        <w:bidi w:val="0"/>
        <w:spacing w:before="240" w:after="0"/>
        <w:jc w:val="center"/>
        <w:rPr>
          <w:rFonts w:ascii="Times New Roman" w:hAnsi="Times New Roman"/>
          <w:b/>
          <w:sz w:val="20"/>
        </w:rPr>
      </w:pPr>
      <w:r>
        <w:rPr>
          <w:rFonts w:ascii="Times New Roman" w:hAnsi="Times New Roman"/>
          <w:b/>
          <w:sz w:val="20"/>
        </w:rPr>
        <w:t xml:space="preserve">Walkers (Cayman) LLP </w:t>
      </w:r>
    </w:p>
    <w:p>
      <w:pPr>
        <w:pStyle w:val="TextBody"/>
        <w:bidi w:val="0"/>
        <w:spacing w:before="0" w:after="0"/>
        <w:jc w:val="center"/>
        <w:rPr>
          <w:rFonts w:ascii="Times New Roman" w:hAnsi="Times New Roman"/>
          <w:b/>
          <w:sz w:val="20"/>
        </w:rPr>
      </w:pPr>
      <w:r>
        <w:rPr>
          <w:rFonts w:ascii="Times New Roman" w:hAnsi="Times New Roman"/>
          <w:b/>
          <w:sz w:val="20"/>
        </w:rPr>
        <w:t xml:space="preserve">190 Elgin Avenue </w:t>
      </w:r>
    </w:p>
    <w:p>
      <w:pPr>
        <w:pStyle w:val="TextBody"/>
        <w:bidi w:val="0"/>
        <w:spacing w:before="0" w:after="0"/>
        <w:jc w:val="center"/>
        <w:rPr>
          <w:rFonts w:ascii="Times New Roman" w:hAnsi="Times New Roman"/>
          <w:b/>
          <w:sz w:val="20"/>
        </w:rPr>
      </w:pPr>
      <w:r>
        <w:rPr>
          <w:rFonts w:ascii="Times New Roman" w:hAnsi="Times New Roman"/>
          <w:b/>
          <w:sz w:val="20"/>
        </w:rPr>
        <w:t xml:space="preserve">George Town, Grand Cayman </w:t>
      </w:r>
    </w:p>
    <w:p>
      <w:pPr>
        <w:pStyle w:val="TextBody"/>
        <w:bidi w:val="0"/>
        <w:spacing w:before="0" w:after="0"/>
        <w:jc w:val="center"/>
        <w:rPr>
          <w:rFonts w:ascii="Times New Roman" w:hAnsi="Times New Roman"/>
          <w:b/>
          <w:sz w:val="20"/>
        </w:rPr>
      </w:pPr>
      <w:r>
        <w:rPr>
          <w:rFonts w:ascii="Times New Roman" w:hAnsi="Times New Roman"/>
          <w:b/>
          <w:sz w:val="20"/>
        </w:rPr>
        <w:t xml:space="preserve">KY1-9008, Cayman Islands </w:t>
      </w:r>
    </w:p>
    <w:p>
      <w:pPr>
        <w:pStyle w:val="TextBody"/>
        <w:bidi w:val="0"/>
        <w:spacing w:before="0" w:after="0"/>
        <w:jc w:val="center"/>
        <w:rPr>
          <w:rFonts w:ascii="Times New Roman" w:hAnsi="Times New Roman"/>
          <w:b/>
          <w:sz w:val="20"/>
        </w:rPr>
      </w:pPr>
      <w:r>
        <w:rPr>
          <w:rFonts w:ascii="Times New Roman" w:hAnsi="Times New Roman"/>
          <w:b/>
          <w:sz w:val="20"/>
        </w:rPr>
        <w:t xml:space="preserve">+1 (345) 949-0100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240" w:after="0"/>
        <w:jc w:val="center"/>
        <w:rPr>
          <w:rFonts w:ascii="Times New Roman" w:hAnsi="Times New Roman"/>
          <w:b/>
          <w:i/>
          <w:sz w:val="20"/>
        </w:rPr>
      </w:pPr>
      <w:r>
        <w:rPr>
          <w:rFonts w:ascii="Times New Roman" w:hAnsi="Times New Roman"/>
          <w:b/>
          <w:i/>
          <w:sz w:val="20"/>
        </w:rPr>
        <w:t xml:space="preserve">With copies to: </w:t>
      </w:r>
    </w:p>
    <w:p>
      <w:pPr>
        <w:pStyle w:val="TextBody"/>
        <w:bidi w:val="0"/>
        <w:spacing w:before="120" w:after="0"/>
        <w:jc w:val="center"/>
        <w:rPr>
          <w:rFonts w:ascii="Times New Roman" w:hAnsi="Times New Roman"/>
          <w:b/>
          <w:sz w:val="20"/>
        </w:rPr>
      </w:pPr>
      <w:r>
        <w:rPr>
          <w:rFonts w:ascii="Times New Roman" w:hAnsi="Times New Roman"/>
          <w:b/>
          <w:sz w:val="20"/>
        </w:rPr>
        <w:t xml:space="preserve">Gina Hancock </w:t>
      </w:r>
    </w:p>
    <w:p>
      <w:pPr>
        <w:pStyle w:val="TextBody"/>
        <w:bidi w:val="0"/>
        <w:spacing w:before="0" w:after="0"/>
        <w:jc w:val="center"/>
        <w:rPr>
          <w:rFonts w:ascii="Times New Roman" w:hAnsi="Times New Roman"/>
          <w:b/>
          <w:sz w:val="20"/>
        </w:rPr>
      </w:pPr>
      <w:r>
        <w:rPr>
          <w:rFonts w:ascii="Times New Roman" w:hAnsi="Times New Roman"/>
          <w:b/>
          <w:sz w:val="20"/>
        </w:rPr>
        <w:t xml:space="preserve">Gibson, Dunn &amp; Crutcher LLP </w:t>
      </w:r>
    </w:p>
    <w:p>
      <w:pPr>
        <w:pStyle w:val="TextBody"/>
        <w:bidi w:val="0"/>
        <w:spacing w:before="0" w:after="0"/>
        <w:jc w:val="center"/>
        <w:rPr>
          <w:rFonts w:ascii="Times New Roman" w:hAnsi="Times New Roman"/>
          <w:b/>
          <w:sz w:val="20"/>
        </w:rPr>
      </w:pPr>
      <w:r>
        <w:rPr>
          <w:rFonts w:ascii="Times New Roman" w:hAnsi="Times New Roman"/>
          <w:b/>
          <w:sz w:val="20"/>
        </w:rPr>
        <w:t xml:space="preserve">2001 Ross Avenue, Suite 2100 </w:t>
      </w:r>
    </w:p>
    <w:p>
      <w:pPr>
        <w:pStyle w:val="TextBody"/>
        <w:bidi w:val="0"/>
        <w:spacing w:before="0" w:after="0"/>
        <w:jc w:val="center"/>
        <w:rPr>
          <w:rFonts w:ascii="Times New Roman" w:hAnsi="Times New Roman"/>
          <w:b/>
          <w:sz w:val="20"/>
        </w:rPr>
      </w:pPr>
      <w:r>
        <w:rPr>
          <w:rFonts w:ascii="Times New Roman" w:hAnsi="Times New Roman"/>
          <w:b/>
          <w:sz w:val="20"/>
        </w:rPr>
        <w:t xml:space="preserve">Dallas, Texas 75201 </w:t>
      </w:r>
    </w:p>
    <w:p>
      <w:pPr>
        <w:pStyle w:val="TextBody"/>
        <w:bidi w:val="0"/>
        <w:spacing w:before="0" w:after="0"/>
        <w:jc w:val="center"/>
        <w:rPr>
          <w:rFonts w:ascii="Times New Roman" w:hAnsi="Times New Roman"/>
          <w:b/>
          <w:sz w:val="20"/>
        </w:rPr>
      </w:pPr>
      <w:r>
        <w:rPr>
          <w:rFonts w:ascii="Times New Roman" w:hAnsi="Times New Roman"/>
          <w:b/>
          <w:sz w:val="20"/>
        </w:rPr>
        <w:t xml:space="preserve">(214) 698-3100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37"/>
        <w:gridCol w:w="103"/>
        <w:gridCol w:w="4849"/>
        <w:gridCol w:w="123"/>
        <w:gridCol w:w="2640"/>
        <w:gridCol w:w="103"/>
        <w:gridCol w:w="250"/>
      </w:tblGrid>
      <w:tr>
        <w:trPr/>
        <w:tc>
          <w:tcPr>
            <w:tcW w:w="213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4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r>
        <w:trPr>
          <w:trHeight w:val="120" w:hRule="atLeast"/>
        </w:trPr>
        <w:tc>
          <w:tcPr>
            <w:tcW w:w="2137" w:type="dxa"/>
            <w:tcBorders/>
            <w:vAlign w:val="center"/>
          </w:tcPr>
          <w:p>
            <w:pPr>
              <w:pStyle w:val="TableContents"/>
              <w:bidi w:val="0"/>
              <w:spacing w:before="0" w:after="283"/>
              <w:jc w:val="left"/>
              <w:rPr>
                <w:sz w:val="4"/>
                <w:szCs w:val="4"/>
              </w:rPr>
            </w:pPr>
            <w:r>
              <w:rPr>
                <w:sz w:val="4"/>
                <w:szCs w:val="4"/>
              </w:rPr>
            </w:r>
          </w:p>
        </w:tc>
        <w:tc>
          <w:tcPr>
            <w:tcW w:w="4952"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3" w:type="dxa"/>
            <w:gridSpan w:val="2"/>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r>
        <w:trPr>
          <w:trHeight w:val="120" w:hRule="atLeast"/>
        </w:trPr>
        <w:tc>
          <w:tcPr>
            <w:tcW w:w="2137" w:type="dxa"/>
            <w:tcBorders/>
            <w:vAlign w:val="center"/>
          </w:tcPr>
          <w:p>
            <w:pPr>
              <w:pStyle w:val="TableContents"/>
              <w:bidi w:val="0"/>
              <w:spacing w:before="0" w:after="283"/>
              <w:jc w:val="left"/>
              <w:rPr>
                <w:sz w:val="4"/>
                <w:szCs w:val="4"/>
              </w:rPr>
            </w:pPr>
            <w:r>
              <w:rPr>
                <w:sz w:val="4"/>
                <w:szCs w:val="4"/>
              </w:rPr>
            </w:r>
          </w:p>
        </w:tc>
        <w:tc>
          <w:tcPr>
            <w:tcW w:w="4952"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3" w:type="dxa"/>
            <w:gridSpan w:val="2"/>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This Post-Effective Amendment No. 1 (this “Amendment” or this “Registration Statement”) is being filed pursuant to Rule 414(d) under the Securities Act of 1933, as amended (the “Securities Act”), by Damora Therapeutics, Inc., a Cayman Islands exempted company (“Damora Cayman”), as the successor to Damora Therapeutics, Inc. (formerly known as Galecto, Inc.), a corporation formed under the laws of the State of Delaware (“Damora Delaware”). On July 16, 2026, Damora Delaware changed its jurisdiction of incorporation from the State of Delaware to the Cayman Islands, as described further below (the “Redomestication”). </w:t>
      </w:r>
    </w:p>
    <w:p>
      <w:pPr>
        <w:pStyle w:val="TextBody"/>
        <w:bidi w:val="0"/>
        <w:spacing w:before="240" w:after="0"/>
        <w:jc w:val="left"/>
        <w:rPr/>
      </w:pPr>
      <w:r>
        <w:rPr>
          <w:rFonts w:ascii="Times New Roman" w:hAnsi="Times New Roman"/>
          <w:sz w:val="20"/>
        </w:rPr>
        <w:t>This Amendment pertains to the adoption by the Registrant of the following Registration Statements on Form S-8 previously filed by Damora Delaware with the Securities and Exchange Commission (the “SEC”), each of which became effective upon filing (collectively, the “Registration Statements”): (i) November 4, 2020 (Registration No. </w:t>
      </w:r>
      <w:hyperlink r:id="rId2">
        <w:r>
          <w:rPr>
            <w:rStyle w:val="InternetLink"/>
            <w:rFonts w:ascii="Times New Roman" w:hAnsi="Times New Roman"/>
            <w:sz w:val="20"/>
          </w:rPr>
          <w:t>333-249852</w:t>
        </w:r>
      </w:hyperlink>
      <w:r>
        <w:rPr>
          <w:rFonts w:ascii="Times New Roman" w:hAnsi="Times New Roman"/>
          <w:sz w:val="20"/>
        </w:rPr>
        <w:t>), (ii) March 29, 2021 (Registration No. </w:t>
      </w:r>
      <w:hyperlink r:id="rId3">
        <w:r>
          <w:rPr>
            <w:rStyle w:val="InternetLink"/>
            <w:rFonts w:ascii="Times New Roman" w:hAnsi="Times New Roman"/>
            <w:sz w:val="20"/>
          </w:rPr>
          <w:t>333-254805</w:t>
        </w:r>
      </w:hyperlink>
      <w:r>
        <w:rPr>
          <w:rFonts w:ascii="Times New Roman" w:hAnsi="Times New Roman"/>
          <w:sz w:val="20"/>
        </w:rPr>
        <w:t xml:space="preserve">), (iii) February 17, 2022 (Registration No.  </w:t>
      </w:r>
      <w:hyperlink r:id="rId4">
        <w:r>
          <w:rPr>
            <w:rStyle w:val="InternetLink"/>
            <w:rFonts w:ascii="Times New Roman" w:hAnsi="Times New Roman"/>
            <w:sz w:val="20"/>
          </w:rPr>
          <w:t>333-262823</w:t>
        </w:r>
      </w:hyperlink>
      <w:r>
        <w:rPr>
          <w:rFonts w:ascii="Times New Roman" w:hAnsi="Times New Roman"/>
          <w:sz w:val="20"/>
        </w:rPr>
        <w:t xml:space="preserve">), (iv) March 9, 2023 (Registration No.  </w:t>
      </w:r>
      <w:hyperlink r:id="rId5">
        <w:r>
          <w:rPr>
            <w:rStyle w:val="InternetLink"/>
            <w:rFonts w:ascii="Times New Roman" w:hAnsi="Times New Roman"/>
            <w:sz w:val="20"/>
          </w:rPr>
          <w:t>333-270380</w:t>
        </w:r>
      </w:hyperlink>
      <w:r>
        <w:rPr>
          <w:rFonts w:ascii="Times New Roman" w:hAnsi="Times New Roman"/>
          <w:sz w:val="20"/>
        </w:rPr>
        <w:t xml:space="preserve">), (v) March 8, 2024 (Registration No.  </w:t>
      </w:r>
      <w:hyperlink r:id="rId6">
        <w:r>
          <w:rPr>
            <w:rStyle w:val="InternetLink"/>
            <w:rFonts w:ascii="Times New Roman" w:hAnsi="Times New Roman"/>
            <w:sz w:val="20"/>
          </w:rPr>
          <w:t>333-277792</w:t>
        </w:r>
      </w:hyperlink>
      <w:r>
        <w:rPr>
          <w:rFonts w:ascii="Times New Roman" w:hAnsi="Times New Roman"/>
          <w:sz w:val="20"/>
        </w:rPr>
        <w:t xml:space="preserve">), (vi) March 19, 2025 (Registration No.  </w:t>
      </w:r>
      <w:hyperlink r:id="rId7">
        <w:r>
          <w:rPr>
            <w:rStyle w:val="InternetLink"/>
            <w:rFonts w:ascii="Times New Roman" w:hAnsi="Times New Roman"/>
            <w:sz w:val="20"/>
          </w:rPr>
          <w:t>333-285920</w:t>
        </w:r>
      </w:hyperlink>
      <w:r>
        <w:rPr>
          <w:rFonts w:ascii="Times New Roman" w:hAnsi="Times New Roman"/>
          <w:sz w:val="20"/>
        </w:rPr>
        <w:t xml:space="preserve">), (vii) January 2, 2026 (Registration No.  </w:t>
      </w:r>
      <w:hyperlink r:id="rId8">
        <w:r>
          <w:rPr>
            <w:rStyle w:val="InternetLink"/>
            <w:rFonts w:ascii="Times New Roman" w:hAnsi="Times New Roman"/>
            <w:sz w:val="20"/>
          </w:rPr>
          <w:t>333-292564</w:t>
        </w:r>
      </w:hyperlink>
      <w:r>
        <w:rPr>
          <w:rFonts w:ascii="Times New Roman" w:hAnsi="Times New Roman"/>
          <w:sz w:val="20"/>
        </w:rPr>
        <w:t xml:space="preserve">), and (viii) March 20, 2026 (Registration No.  </w:t>
      </w:r>
      <w:hyperlink r:id="rId9">
        <w:r>
          <w:rPr>
            <w:rStyle w:val="InternetLink"/>
            <w:rFonts w:ascii="Times New Roman" w:hAnsi="Times New Roman"/>
            <w:sz w:val="20"/>
          </w:rPr>
          <w:t>333-294492</w:t>
        </w:r>
      </w:hyperlink>
      <w:r>
        <w:rPr>
          <w:rFonts w:ascii="Times New Roman" w:hAnsi="Times New Roman"/>
          <w:sz w:val="20"/>
        </w:rPr>
        <w:t xml:space="preserve">). Damora Cayman expressly adopts the Registration Statements, as modified by this Amendment, as its own registration statements for all purposes of the Securities Act and the Securities Exchange Act of 1934, as amended (the “Exchange Act”). For the purposes of this Amendment and the Registration Statements, references to the “Company”, the “Registrant”, “we”, “our”, “us” and similar terms mean, as of any time prior to the Redomestication, Damora Delaware and, as of any time after the Redomestication, Damora Cayman. The information contained in this Amendment sets forth additional information to reflect the Redomestication. All documents filed by the Company under Sections 13(a), 13(c), 14 or 15(d) of the Exchange Act before the effective date of the Redomestication will not reflect the change in our jurisdiction of incorporation or capital structure. </w:t>
      </w:r>
    </w:p>
    <w:p>
      <w:pPr>
        <w:pStyle w:val="TextBody"/>
        <w:bidi w:val="0"/>
        <w:spacing w:before="240" w:after="0"/>
        <w:jc w:val="left"/>
        <w:rPr>
          <w:rFonts w:ascii="Times New Roman" w:hAnsi="Times New Roman"/>
          <w:sz w:val="20"/>
        </w:rPr>
      </w:pPr>
      <w:r>
        <w:rPr>
          <w:rFonts w:ascii="Times New Roman" w:hAnsi="Times New Roman"/>
          <w:sz w:val="20"/>
        </w:rPr>
        <w:t xml:space="preserve">The Redomestication was effected in the manner described in the section titled “Proposal No. 3 – Approval of the Redomestication of the Company” in the Company’s definitive proxy statement filed with the SEC on December 31, 2025 (the “Proxy Statement”). In the Redomestication, Damora Delaware discontinued its existence as a corporation under Section 266 of the Delaware General Corporation Law (the “DGCL”) and, pursuant to Part 12 of the Companies Act, as amended, of the Cayman Islands (the “Companies Act”), continued its existence as a Cayman Islands exempted company limited by shares. The business, assets and liabilities of the Company, as well as its principal place of business and fiscal year, were the same immediately after the Redomestication as they were immediately prior to the Redomestication. In addition, the directors and executive officers of the Company immediately after the Redomestication were the same individuals who were directors and executive officers, respectively, of Damora Delaware immediately prior to the Redomestication.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and upon the effective time of the Redomestication, among other things, (i) each share of common stock, par value $0.00001 per share, of Damora Delaware (the “Damora Delaware Common Stock”) issued and outstanding immediately prior to the Redomestication converted, on a one-for-one basis, into a duly authorized, validly issued, fully paid and nonassessable ordinary share, par value $0.00001 per share, of Damora Cayman (a “Damora Cayman Ordinary Share”), (ii) each share of Series A Non-Voting Convertible Preferred Stock, par value $0.00001 per share, of Damora Delaware issued and outstanding immediately prior to the Redomestication converted, on a one-for-one basis, into a duly authorized, validly issued, fully paid and nonassessable Series A Non-Voting Convertible Preferred Share, par value $0.00001 per share, of Damora Cayman, (iii) each share of Series B Non-Voting Convertible Preferred Stock, par value $0.00001 per share, of Damora Delaware issued and outstanding immediately prior to the Redomestication converted, on a one-for-one basis, into a duly authorized, validly issued, fully paid and nonassessable Series B Non-Voting Convertible Preferred Share, par value $0.00001 per share, of Damora Cayman, (iv) each share of Series C Non-Voting Convertible Preferred Stock, par value $0.00001 per share, of Damora Delaware issued and outstanding immediately prior to the Redomestication converted, on a one-for-one basis, into a duly authorized, validly issued, fully paid and nonassessable Series C Non-Voting Convertible Preferred Share, par value $0.00001 per share, of Damora Cayman, (v) each option to purchase Damora Delaware Common Stock issued and outstanding immediately prior to the Redomestication converted, on a one-for-one basis, into a duly authorized and validly issued option to purchase Damora Cayman Ordinary Shares, (vi) each restricted stock unit of Damora Delaware issued and outstanding immediately prior to the Redomestication converted, on a one-for-one basis, into a duly authorized and validly issued restricted stock unit of Damora Cayman, and (vii) each warrant to purchase shares of Damora Delaware Common Stock issued and outstanding immediately prior to the Redomestication converted, on a one-for-one basis, into a duly authorized and validly issued warrant to purchase Damora Cayman Ordinary Shares. The Registrant has also amended and restated the (A) Damora Therapeutics, Inc. 2020 Stock Option and Grant Plan (f/k/a Galecto, Inc. 2020 Stock Option and Grant Plan) (the “2020 Stock Option Plan”), (B) Damora Therapeutics, Inc. 2020 Equity Incentive Plan (f/k/a Galecto, Inc. 2020 Equity Incentive Plan) (the “2020 Plan”), (C) Damora Therapeutics, Inc.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2022 Inducement Plan (f/k/a Galecto, Inc. 2022 Inducement Plan) (the “2022 Inducement Plan”), (D) Damora Therapeutics, Inc. 2025 Equity Incentive Plan (the “2025 Plan”), (E) Damora Therapeutics, Inc. 2026 Equity Incentive Plan (the “2026 Plan”), and (F) Damora Therapeutics, Inc. 2026 Employee Stock Purchase Plan, as necessary to reflect the Redomestication and provide for the issuance of Damora Cayman Ordinary Shares rather than Damora Delaware Common Stock thereunder. </w:t>
      </w:r>
    </w:p>
    <w:p>
      <w:pPr>
        <w:pStyle w:val="TextBody"/>
        <w:bidi w:val="0"/>
        <w:spacing w:before="240" w:after="0"/>
        <w:jc w:val="left"/>
        <w:rPr>
          <w:rFonts w:ascii="Times New Roman" w:hAnsi="Times New Roman"/>
          <w:sz w:val="20"/>
        </w:rPr>
      </w:pPr>
      <w:r>
        <w:rPr>
          <w:rFonts w:ascii="Times New Roman" w:hAnsi="Times New Roman"/>
          <w:sz w:val="20"/>
        </w:rPr>
        <w:t xml:space="preserve">The rights of holders of Damora Cayman Ordinary Shares are now governed by Damora Cayman’s memorandum and articles of association (the “Cayman Articles”) and Cayman Islands law, which are described in the section of the Proxy Statement titled “Proposal No. 3 – Approval of the Redomestication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registration fees were paid at the time of filing of the Registration Statements. Because no additional securities are being registered, no further registration fee is required. </w:t>
      </w:r>
    </w:p>
    <w:p>
      <w:pPr>
        <w:pStyle w:val="TextBody"/>
        <w:bidi w:val="0"/>
        <w:spacing w:before="480" w:after="0"/>
        <w:jc w:val="center"/>
        <w:rPr>
          <w:rFonts w:ascii="Times New Roman" w:hAnsi="Times New Roman"/>
          <w:b/>
          <w:sz w:val="20"/>
        </w:rPr>
      </w:pPr>
      <w:r>
        <w:rPr>
          <w:rFonts w:ascii="Times New Roman" w:hAnsi="Times New Roman"/>
          <w:b/>
          <w:sz w:val="20"/>
        </w:rPr>
        <w:t xml:space="preserve">PART II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REQUIRED IN THE REGISTRATION STATEMENT </w:t>
      </w:r>
    </w:p>
    <w:p>
      <w:pPr>
        <w:pStyle w:val="TextBody"/>
        <w:bidi w:val="0"/>
        <w:spacing w:before="240" w:after="0"/>
        <w:jc w:val="left"/>
        <w:rPr>
          <w:rFonts w:ascii="Times New Roman" w:hAnsi="Times New Roman"/>
          <w:b/>
          <w:sz w:val="20"/>
        </w:rPr>
      </w:pPr>
      <w:r>
        <w:rPr>
          <w:rFonts w:ascii="Times New Roman" w:hAnsi="Times New Roman"/>
          <w:b/>
          <w:sz w:val="20"/>
        </w:rPr>
        <w:t xml:space="preserve">Item 3. Incorporation of Certain Documents by Reference.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documents, which have previously been filed by the Registrant with the SEC pursuant to the Exchange Act, are incorporated by reference into this Registration Statement and shall be deemed to be a part hereof: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pPr>
            <w:r>
              <w:rPr>
                <w:rFonts w:ascii="Times New Roman" w:hAnsi="Times New Roman"/>
                <w:sz w:val="20"/>
              </w:rPr>
              <w:t xml:space="preserve">the Registrant’s Annual Report on </w:t>
            </w:r>
            <w:hyperlink r:id="rId10">
              <w:r>
                <w:rPr>
                  <w:rStyle w:val="InternetLink"/>
                  <w:rFonts w:ascii="Times New Roman" w:hAnsi="Times New Roman"/>
                  <w:sz w:val="20"/>
                </w:rPr>
                <w:t>Form 10-K</w:t>
              </w:r>
            </w:hyperlink>
            <w:r>
              <w:rPr>
                <w:rFonts w:ascii="Times New Roman" w:hAnsi="Times New Roman"/>
                <w:sz w:val="20"/>
              </w:rPr>
              <w:t xml:space="preserve"> for the fiscal year ended December 31, 2025, filed with the SEC on March  19, 2026, including certain information incorporated by reference therein from our </w:t>
            </w:r>
            <w:hyperlink r:id="rId11">
              <w:r>
                <w:rPr>
                  <w:rStyle w:val="InternetLink"/>
                  <w:rFonts w:ascii="Times New Roman" w:hAnsi="Times New Roman"/>
                  <w:sz w:val="20"/>
                </w:rPr>
                <w:t>Definitive Proxy Statement on Schedule 14A</w:t>
              </w:r>
            </w:hyperlink>
            <w:r>
              <w:rPr>
                <w:rFonts w:ascii="Times New Roman" w:hAnsi="Times New Roman"/>
                <w:sz w:val="20"/>
              </w:rPr>
              <w:t xml:space="preserve"> for the Registrant’s 2026 annual meeting of shareholders filed with the SEC on April 29,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pPr>
            <w:r>
              <w:rPr>
                <w:rFonts w:ascii="Times New Roman" w:hAnsi="Times New Roman"/>
                <w:sz w:val="20"/>
              </w:rPr>
              <w:t xml:space="preserve">the Registrant’s Quarterly Reports on Form 10-Q for the quarters ended March 31, 2026 and June 30, 2026, filed with the SEC on </w:t>
            </w:r>
            <w:hyperlink r:id="rId12">
              <w:r>
                <w:rPr>
                  <w:rStyle w:val="InternetLink"/>
                  <w:rFonts w:ascii="Times New Roman" w:hAnsi="Times New Roman"/>
                  <w:sz w:val="20"/>
                </w:rPr>
                <w:t>May  12, 2026</w:t>
              </w:r>
            </w:hyperlink>
            <w:r>
              <w:rPr>
                <w:rFonts w:ascii="Times New Roman" w:hAnsi="Times New Roman"/>
                <w:sz w:val="20"/>
              </w:rPr>
              <w:t xml:space="preserve"> and </w:t>
            </w:r>
            <w:hyperlink r:id="rId13">
              <w:r>
                <w:rPr>
                  <w:rStyle w:val="InternetLink"/>
                  <w:rFonts w:ascii="Times New Roman" w:hAnsi="Times New Roman"/>
                  <w:sz w:val="20"/>
                </w:rPr>
                <w:t>August 10,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pPr>
            <w:r>
              <w:rPr>
                <w:rFonts w:ascii="Times New Roman" w:hAnsi="Times New Roman"/>
                <w:sz w:val="20"/>
              </w:rPr>
              <w:t xml:space="preserve">the Registrant’s Current Reports on Form 8-K filed with the SEC on </w:t>
            </w:r>
            <w:hyperlink r:id="rId14">
              <w:r>
                <w:rPr>
                  <w:rStyle w:val="InternetLink"/>
                  <w:rFonts w:ascii="Times New Roman" w:hAnsi="Times New Roman"/>
                  <w:sz w:val="20"/>
                </w:rPr>
                <w:t>January  6, 2026</w:t>
              </w:r>
            </w:hyperlink>
            <w:r>
              <w:rPr>
                <w:rFonts w:ascii="Times New Roman" w:hAnsi="Times New Roman"/>
                <w:sz w:val="20"/>
              </w:rPr>
              <w:t xml:space="preserve">, </w:t>
            </w:r>
            <w:hyperlink r:id="rId15">
              <w:r>
                <w:rPr>
                  <w:rStyle w:val="InternetLink"/>
                  <w:rFonts w:ascii="Times New Roman" w:hAnsi="Times New Roman"/>
                  <w:sz w:val="20"/>
                </w:rPr>
                <w:t>February  10, 2026</w:t>
              </w:r>
            </w:hyperlink>
            <w:r>
              <w:rPr>
                <w:rFonts w:ascii="Times New Roman" w:hAnsi="Times New Roman"/>
                <w:sz w:val="20"/>
              </w:rPr>
              <w:t xml:space="preserve">, </w:t>
            </w:r>
            <w:hyperlink r:id="rId16">
              <w:r>
                <w:rPr>
                  <w:rStyle w:val="InternetLink"/>
                  <w:rFonts w:ascii="Times New Roman" w:hAnsi="Times New Roman"/>
                  <w:sz w:val="20"/>
                </w:rPr>
                <w:t>February  11, 2026</w:t>
              </w:r>
            </w:hyperlink>
            <w:r>
              <w:rPr>
                <w:rFonts w:ascii="Times New Roman" w:hAnsi="Times New Roman"/>
                <w:sz w:val="20"/>
              </w:rPr>
              <w:t xml:space="preserve">, </w:t>
            </w:r>
            <w:hyperlink r:id="rId17">
              <w:r>
                <w:rPr>
                  <w:rStyle w:val="InternetLink"/>
                  <w:rFonts w:ascii="Times New Roman" w:hAnsi="Times New Roman"/>
                  <w:sz w:val="20"/>
                </w:rPr>
                <w:t>March  10, 2026</w:t>
              </w:r>
            </w:hyperlink>
            <w:r>
              <w:rPr>
                <w:rFonts w:ascii="Times New Roman" w:hAnsi="Times New Roman"/>
                <w:sz w:val="20"/>
              </w:rPr>
              <w:t xml:space="preserve">, </w:t>
            </w:r>
            <w:hyperlink r:id="rId18">
              <w:r>
                <w:rPr>
                  <w:rStyle w:val="InternetLink"/>
                  <w:rFonts w:ascii="Times New Roman" w:hAnsi="Times New Roman"/>
                  <w:sz w:val="20"/>
                </w:rPr>
                <w:t>March  23, 2026</w:t>
              </w:r>
            </w:hyperlink>
            <w:r>
              <w:rPr>
                <w:rFonts w:ascii="Times New Roman" w:hAnsi="Times New Roman"/>
                <w:sz w:val="20"/>
              </w:rPr>
              <w:t xml:space="preserve">, </w:t>
            </w:r>
            <w:hyperlink r:id="rId19">
              <w:r>
                <w:rPr>
                  <w:rStyle w:val="InternetLink"/>
                  <w:rFonts w:ascii="Times New Roman" w:hAnsi="Times New Roman"/>
                  <w:sz w:val="20"/>
                </w:rPr>
                <w:t>April  20, 2026</w:t>
              </w:r>
            </w:hyperlink>
            <w:r>
              <w:rPr>
                <w:rFonts w:ascii="Times New Roman" w:hAnsi="Times New Roman"/>
                <w:sz w:val="20"/>
              </w:rPr>
              <w:t xml:space="preserve">, </w:t>
            </w:r>
            <w:hyperlink r:id="rId20">
              <w:r>
                <w:rPr>
                  <w:rStyle w:val="InternetLink"/>
                  <w:rFonts w:ascii="Times New Roman" w:hAnsi="Times New Roman"/>
                  <w:sz w:val="20"/>
                </w:rPr>
                <w:t>May  4, 2026</w:t>
              </w:r>
            </w:hyperlink>
            <w:r>
              <w:rPr>
                <w:rFonts w:ascii="Times New Roman" w:hAnsi="Times New Roman"/>
                <w:sz w:val="20"/>
              </w:rPr>
              <w:t xml:space="preserve">, </w:t>
            </w:r>
            <w:hyperlink r:id="rId21">
              <w:r>
                <w:rPr>
                  <w:rStyle w:val="InternetLink"/>
                  <w:rFonts w:ascii="Times New Roman" w:hAnsi="Times New Roman"/>
                  <w:sz w:val="20"/>
                </w:rPr>
                <w:t>June  17, 2026</w:t>
              </w:r>
            </w:hyperlink>
            <w:r>
              <w:rPr>
                <w:rFonts w:ascii="Times New Roman" w:hAnsi="Times New Roman"/>
                <w:sz w:val="20"/>
              </w:rPr>
              <w:t xml:space="preserve"> and </w:t>
            </w:r>
            <w:hyperlink r:id="rId22">
              <w:r>
                <w:rPr>
                  <w:rStyle w:val="InternetLink"/>
                  <w:rFonts w:ascii="Times New Roman" w:hAnsi="Times New Roman"/>
                  <w:sz w:val="20"/>
                </w:rPr>
                <w:t>July 20,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pPr>
            <w:r>
              <w:rPr>
                <w:rFonts w:ascii="Times New Roman" w:hAnsi="Times New Roman"/>
                <w:sz w:val="20"/>
              </w:rPr>
              <w:t xml:space="preserve">the description of the Registrant’s ordinary shares contained in Item 1 of the Registrant’s Registration Statement on </w:t>
            </w:r>
            <w:hyperlink r:id="rId23">
              <w:r>
                <w:rPr>
                  <w:rStyle w:val="InternetLink"/>
                  <w:rFonts w:ascii="Times New Roman" w:hAnsi="Times New Roman"/>
                  <w:sz w:val="20"/>
                </w:rPr>
                <w:t>Form 8-A</w:t>
              </w:r>
            </w:hyperlink>
            <w:r>
              <w:rPr>
                <w:rFonts w:ascii="Times New Roman" w:hAnsi="Times New Roman"/>
                <w:sz w:val="20"/>
              </w:rPr>
              <w:t xml:space="preserve">, as amended by </w:t>
            </w:r>
            <w:hyperlink r:id="rId24">
              <w:r>
                <w:rPr>
                  <w:rStyle w:val="InternetLink"/>
                  <w:rFonts w:ascii="Times New Roman" w:hAnsi="Times New Roman"/>
                  <w:sz w:val="20"/>
                </w:rPr>
                <w:t>Amendment No. 1</w:t>
              </w:r>
            </w:hyperlink>
            <w:r>
              <w:rPr>
                <w:rFonts w:ascii="Times New Roman" w:hAnsi="Times New Roman"/>
                <w:sz w:val="20"/>
              </w:rPr>
              <w:t xml:space="preserve"> filed with the SEC on August 10, 2026, including any amendment or report filed with the SEC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all documents subsequently filed by the Registrant with the SEC pursuant to Sections 13(a), 13(c), 14 and 15(d) of the Exchange Act, prior to the filing of a post-effective amendment to this Registration Statement which indicates that all securities offered hereby have been sold or which deregisters all such securities then remaining unsold, shall be deemed to be incorporated by reference in this Registration Statement and to be a part hereof from the date of filing of such documents. Notwithstanding the foregoing, unless specifically stated to the contrary, none of the information that the Registrant discloses under Items 2.02 or 7.01 of any Current Report on Form 8-K that it may from time to time furnish to the SEC will be incorporated by reference into, or otherwise included in, this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Any statement, including financial statements, contained in a document incorporated or deemed to be incorporated by reference herein shall be deemed to be modified or superseded for purposes of this Registration Statement to the extent that a statement contained herein or therein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6.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In most cases, under Cayman Islands law, the Company will be the proper plaintiff in any claim based on a breach of duty owed to it, and a claim against (for example) the Company’s directors or officers usually may not be brought by a shareholder. In principle, a shareholder does not have a direct right of action against directors of the Company. However, based on Cayman Islands authorities and English authorities (which will be of persuasive authority in the Cayman Islands), there are exceptions to the foregoing principle such that a shareholder may be entitled to bring a derivative action on behalf of the Company, but only in limited circumstances, including but not limited to: the Company acts or proposes to act illegally or ultra vires; the act complained of (although not ultra vires) could be affected if duly authorized by a special resolution that has not been obtained; and those who control the Company are perpetuating a “fraud on the minority”. A shareholder may have a direct right of action against the Company where the individual rights of that shareholder have been or will be infringed. Derivative actions have been brought in the Cayman Islands courts, and the Cayman Islands courts have confirmed the availability for such actions. </w:t>
      </w:r>
    </w:p>
    <w:p>
      <w:pPr>
        <w:pStyle w:val="TextBody"/>
        <w:bidi w:val="0"/>
        <w:spacing w:before="240" w:after="0"/>
        <w:jc w:val="left"/>
        <w:rPr>
          <w:rFonts w:ascii="Times New Roman" w:hAnsi="Times New Roman"/>
          <w:sz w:val="20"/>
        </w:rPr>
      </w:pPr>
      <w:r>
        <w:rPr>
          <w:rFonts w:ascii="Times New Roman" w:hAnsi="Times New Roman"/>
          <w:sz w:val="20"/>
        </w:rPr>
        <w:t xml:space="preserve">Cayman Islands law does not specifically restrict a Cayman Islands exempted company from exculpating its directors or officers from liability for negligence or a breach of duty, except to the extent any such provision may be held by the Cayman Islands courts to be contrary to public policy, such as to limit liability against willful default, willful neglect, actual fraud or the consequences of committing a crime. The Cayman Articles provide for indemnification for every director and officer of Damora Cayman. </w:t>
      </w:r>
    </w:p>
    <w:p>
      <w:pPr>
        <w:pStyle w:val="TextBody"/>
        <w:bidi w:val="0"/>
        <w:spacing w:before="240" w:after="0"/>
        <w:jc w:val="left"/>
        <w:rPr>
          <w:rFonts w:ascii="Times New Roman" w:hAnsi="Times New Roman"/>
          <w:sz w:val="20"/>
        </w:rPr>
      </w:pPr>
      <w:r>
        <w:rPr>
          <w:rFonts w:ascii="Times New Roman" w:hAnsi="Times New Roman"/>
          <w:sz w:val="20"/>
        </w:rPr>
        <w:t xml:space="preserve">Cayman Islands law does not restrict the authority of a Cayman Islands exempted company to advance expenses incurred by an officer or director in defending any civil, criminal, administrative or investigative action, suit or proceeding, but there is no statutory provision expressly requiring or governing advancement of expenses. Instead, the ability to advance expenses is typically addressed in a Cayman Islands exempted company’s articles of association. The Cayman Articles provide for expense advancement provisions for indemnified persons. </w:t>
      </w:r>
    </w:p>
    <w:p>
      <w:pPr>
        <w:pStyle w:val="TextBody"/>
        <w:bidi w:val="0"/>
        <w:spacing w:before="240" w:after="0"/>
        <w:jc w:val="left"/>
        <w:rPr>
          <w:rFonts w:ascii="Times New Roman" w:hAnsi="Times New Roman"/>
          <w:sz w:val="20"/>
        </w:rPr>
      </w:pPr>
      <w:r>
        <w:rPr>
          <w:rFonts w:ascii="Times New Roman" w:hAnsi="Times New Roman"/>
          <w:sz w:val="20"/>
        </w:rPr>
        <w:t xml:space="preserve">Damora Cayman has entered into indemnification agreements with each of its directors and executive officers that obligate us to indemnify, hold harmless, exonerate, and to advance expenses as incurred, to the fullest extent permitted under applicable law, from damage arising from the fact that such person is or was an officer or director of Damora Cayman or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The Cayman Articles also provide that Damora Cayman may maintain insurance to protect a director or an officer against liability. Damora Cayman has obtained insurance that covers certain liabilities of its directors and officers. </w:t>
      </w:r>
    </w:p>
    <w:p>
      <w:pPr>
        <w:pStyle w:val="TextBody"/>
        <w:bidi w:val="0"/>
        <w:spacing w:before="240" w:after="0"/>
        <w:jc w:val="left"/>
        <w:rPr>
          <w:rFonts w:ascii="Times New Roman" w:hAnsi="Times New Roman"/>
          <w:sz w:val="20"/>
        </w:rPr>
      </w:pPr>
      <w:r>
        <w:rPr>
          <w:rFonts w:ascii="Times New Roman" w:hAnsi="Times New Roman"/>
          <w:sz w:val="20"/>
        </w:rPr>
        <w:t xml:space="preserve">The indemnification rights set forth above shall not be exclusive of any other right which an indemnified person may have or hereafter acquire under any statute, the Cayman Articles, any agreement, any vote of shareholders or disinterested directors or otherwise. </w:t>
      </w:r>
    </w:p>
    <w:p>
      <w:pPr>
        <w:pStyle w:val="TextBody"/>
        <w:bidi w:val="0"/>
        <w:spacing w:before="240" w:after="0"/>
        <w:jc w:val="left"/>
        <w:rPr>
          <w:rFonts w:ascii="Times New Roman" w:hAnsi="Times New Roman"/>
          <w:sz w:val="20"/>
        </w:rPr>
      </w:pPr>
      <w:r>
        <w:rPr>
          <w:rFonts w:ascii="Times New Roman" w:hAnsi="Times New Roman"/>
          <w:sz w:val="20"/>
        </w:rPr>
        <w:t xml:space="preserve">Damora Cayman’s indemnification obligations may discourage shareholders from bringing a lawsuit against its officers or directors for breach of their fiduciary duty. These provisions also may have the effect of reducing the likelihood of derivative litigation against Damora Cayman’s officers and directors, even though such an action, if successful, might otherwise benefit us and our shareholders. Furthermore, a shareholder’s investment may be adversely affected to the extent Damora Cayman pays the costs of settlement and damage awards against its officers and directors pursuant to these indemnification provisions. Insofar as indemnification for liabilities arising under the Securities Act may be permitted to directors, officers, or control persons, in the opinion of the Commission, such indemnification is against public policy as expressed in the Securities Act and is therefore unenforceable. </w:t>
      </w:r>
    </w:p>
    <w:p>
      <w:pPr>
        <w:pStyle w:val="TextBody"/>
        <w:bidi w:val="0"/>
        <w:spacing w:before="240" w:after="0"/>
        <w:jc w:val="left"/>
        <w:rPr>
          <w:rFonts w:ascii="Times New Roman" w:hAnsi="Times New Roman"/>
          <w:sz w:val="20"/>
        </w:rPr>
      </w:pPr>
      <w:r>
        <w:rPr>
          <w:rFonts w:ascii="Times New Roman" w:hAnsi="Times New Roman"/>
          <w:sz w:val="20"/>
        </w:rPr>
        <w:t xml:space="preserve">The 2020 Stock Option Plan, 2020 Plan, and 2022 Inducement Plan provide that neither the Registrant’s board of directors nor the administrator of such plans, nor any member or delegate thereof, will be liable for any act, omission, interpretation, construction or determination made in good faith in connection with such plans, and the members of the Registrant’s board of directors and the administrator of such plans (and any delegate thereof) will be entitled to indemnification and reimbursement by the Registrant in respect of any claim, loss, damage or expense (including, without limitation, reasonable attorneys’ fees) arising or resulting therefrom to the fullest extent permitted by law and/or under the Registrant’s memorandum and articles of association or any directors’ and officers’ liability insurance coverage which may be in effect from time to time and/or any indemnification agreement between such individual and the Registrant.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2026 Plan provides that no member of the compensation committee (or other committee acting as administrator of the 2026 Plan) shall be personally liable by reason of any contract or other instrument executed by such member or on his or her behalf in his or her capacity as a member of such committee nor for any mistake of judgment made in good faith, and the Registrant shall indemnify and hold harmless each member of the committee and each other employee, officer or director of the Registrant to whom any duty or power relating to the administration or interpretation of the 2026 Plan may be allocated or delegated, against any cost or expense or liability arising out of any act or omission to act in connection with the 2026 Plan, unless arising out of such person’s own fraud or willful bad faith; provided, however, that approval of the board of directors of the Registrant shall be required for the payment of any amount in settlement of a claim against any such person. </w:t>
      </w:r>
    </w:p>
    <w:p>
      <w:pPr>
        <w:pStyle w:val="TextBody"/>
        <w:bidi w:val="0"/>
        <w:spacing w:before="240" w:after="0"/>
        <w:jc w:val="left"/>
        <w:rPr>
          <w:rFonts w:ascii="Times New Roman" w:hAnsi="Times New Roman"/>
          <w:sz w:val="20"/>
        </w:rPr>
      </w:pPr>
      <w:r>
        <w:rPr>
          <w:rFonts w:ascii="Times New Roman" w:hAnsi="Times New Roman"/>
          <w:sz w:val="20"/>
        </w:rPr>
        <w:t xml:space="preserve">The 2025 Plan provides that no director or person acting pursuant to the authority delegated by the board of directors of the Registrant shall be liable for any action or determination relating to or under the 2025 Plan made in good faith.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90"/>
        <w:gridCol w:w="9715"/>
      </w:tblGrid>
      <w:tr>
        <w:trPr/>
        <w:tc>
          <w:tcPr>
            <w:tcW w:w="490" w:type="dxa"/>
            <w:tcBorders/>
          </w:tcPr>
          <w:p>
            <w:pPr>
              <w:pStyle w:val="TableContents"/>
              <w:bidi w:val="0"/>
              <w:spacing w:before="0" w:after="283"/>
              <w:jc w:val="left"/>
              <w:rPr>
                <w:b/>
              </w:rPr>
            </w:pPr>
            <w:r>
              <w:rPr>
                <w:b/>
              </w:rPr>
              <w:t>Item</w:t>
            </w:r>
          </w:p>
        </w:tc>
        <w:tc>
          <w:tcPr>
            <w:tcW w:w="9715" w:type="dxa"/>
            <w:tcBorders/>
          </w:tcPr>
          <w:p>
            <w:pPr>
              <w:pStyle w:val="TableContents"/>
              <w:bidi w:val="0"/>
              <w:spacing w:before="0" w:after="0"/>
              <w:jc w:val="left"/>
              <w:rPr>
                <w:rFonts w:ascii="Times New Roman" w:hAnsi="Times New Roman"/>
                <w:sz w:val="20"/>
              </w:rPr>
            </w:pPr>
            <w:r>
              <w:rPr>
                <w:rFonts w:ascii="Times New Roman" w:hAnsi="Times New Roman"/>
                <w:b/>
                <w:sz w:val="20"/>
              </w:rPr>
              <w:t>8. Exhibits</w:t>
            </w:r>
            <w:r>
              <w:rPr>
                <w:rFonts w:ascii="Times New Roman" w:hAnsi="Times New Roman"/>
                <w:sz w:val="20"/>
              </w:rPr>
              <w:t xml:space="preserv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08"/>
        <w:gridCol w:w="489"/>
        <w:gridCol w:w="9108"/>
      </w:tblGrid>
      <w:tr>
        <w:trPr/>
        <w:tc>
          <w:tcPr>
            <w:tcW w:w="608" w:type="dxa"/>
            <w:tcBorders/>
            <w:vAlign w:val="center"/>
          </w:tcPr>
          <w:p>
            <w:pPr>
              <w:pStyle w:val="TableContents"/>
              <w:bidi w:val="0"/>
              <w:spacing w:before="0" w:after="283"/>
              <w:jc w:val="left"/>
              <w:rPr>
                <w:sz w:val="4"/>
                <w:szCs w:val="4"/>
              </w:rPr>
            </w:pPr>
            <w:r>
              <w:rPr>
                <w:sz w:val="4"/>
                <w:szCs w:val="4"/>
              </w:rPr>
            </w:r>
          </w:p>
        </w:tc>
        <w:tc>
          <w:tcPr>
            <w:tcW w:w="489" w:type="dxa"/>
            <w:tcBorders/>
            <w:vAlign w:val="bottom"/>
          </w:tcPr>
          <w:p>
            <w:pPr>
              <w:pStyle w:val="TableContents"/>
              <w:bidi w:val="0"/>
              <w:spacing w:before="0" w:after="283"/>
              <w:jc w:val="left"/>
              <w:rPr>
                <w:sz w:val="4"/>
                <w:szCs w:val="4"/>
              </w:rPr>
            </w:pPr>
            <w:r>
              <w:rPr>
                <w:sz w:val="4"/>
                <w:szCs w:val="4"/>
              </w:rPr>
            </w:r>
          </w:p>
        </w:tc>
        <w:tc>
          <w:tcPr>
            <w:tcW w:w="9108" w:type="dxa"/>
            <w:tcBorders/>
            <w:vAlign w:val="center"/>
          </w:tcPr>
          <w:p>
            <w:pPr>
              <w:pStyle w:val="TableContents"/>
              <w:bidi w:val="0"/>
              <w:spacing w:before="0" w:after="283"/>
              <w:jc w:val="left"/>
              <w:rPr>
                <w:sz w:val="4"/>
                <w:szCs w:val="4"/>
              </w:rPr>
            </w:pPr>
            <w:r>
              <w:rPr>
                <w:sz w:val="4"/>
                <w:szCs w:val="4"/>
              </w:rPr>
            </w:r>
          </w:p>
        </w:tc>
      </w:tr>
      <w:tr>
        <w:trPr/>
        <w:tc>
          <w:tcPr>
            <w:tcW w:w="608"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Number</w:t>
            </w:r>
          </w:p>
        </w:tc>
        <w:tc>
          <w:tcPr>
            <w:tcW w:w="489" w:type="dxa"/>
            <w:tcBorders/>
            <w:vAlign w:val="bottom"/>
          </w:tcPr>
          <w:p>
            <w:pPr>
              <w:pStyle w:val="TableContents"/>
              <w:bidi w:val="0"/>
              <w:spacing w:before="0" w:after="283"/>
              <w:jc w:val="left"/>
              <w:rPr/>
            </w:pPr>
            <w:r>
              <w:rPr/>
              <w:t>  </w:t>
            </w:r>
          </w:p>
        </w:tc>
        <w:tc>
          <w:tcPr>
            <w:tcW w:w="910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Exhibit Description</w:t>
            </w:r>
          </w:p>
        </w:tc>
      </w:tr>
      <w:tr>
        <w:trPr>
          <w:trHeight w:val="120" w:hRule="atLeast"/>
        </w:trPr>
        <w:tc>
          <w:tcPr>
            <w:tcW w:w="608" w:type="dxa"/>
            <w:tcBorders/>
            <w:vAlign w:val="center"/>
          </w:tcPr>
          <w:p>
            <w:pPr>
              <w:pStyle w:val="TableContents"/>
              <w:bidi w:val="0"/>
              <w:spacing w:before="0" w:after="283"/>
              <w:jc w:val="left"/>
              <w:rPr>
                <w:sz w:val="4"/>
                <w:szCs w:val="4"/>
              </w:rPr>
            </w:pPr>
            <w:r>
              <w:rPr>
                <w:sz w:val="4"/>
                <w:szCs w:val="4"/>
              </w:rPr>
            </w:r>
          </w:p>
        </w:tc>
        <w:tc>
          <w:tcPr>
            <w:tcW w:w="9597" w:type="dxa"/>
            <w:gridSpan w:val="2"/>
            <w:tcBorders/>
            <w:vAlign w:val="center"/>
          </w:tcPr>
          <w:p>
            <w:pPr>
              <w:pStyle w:val="TableContents"/>
              <w:bidi w:val="0"/>
              <w:spacing w:before="0" w:after="283"/>
              <w:jc w:val="left"/>
              <w:rPr>
                <w:sz w:val="4"/>
                <w:szCs w:val="4"/>
              </w:rPr>
            </w:pPr>
            <w:r>
              <w:rPr>
                <w:sz w:val="4"/>
                <w:szCs w:val="4"/>
              </w:rPr>
            </w:r>
          </w:p>
        </w:tc>
      </w:tr>
      <w:tr>
        <w:trPr/>
        <w:tc>
          <w:tcPr>
            <w:tcW w:w="608" w:type="dxa"/>
            <w:tcBorders/>
          </w:tcPr>
          <w:p>
            <w:pPr>
              <w:pStyle w:val="TableContents"/>
              <w:bidi w:val="0"/>
              <w:spacing w:before="0" w:after="283"/>
              <w:jc w:val="left"/>
              <w:rPr/>
            </w:pPr>
            <w:r>
              <w:rPr/>
              <w:t>4.1</w:t>
            </w:r>
          </w:p>
        </w:tc>
        <w:tc>
          <w:tcPr>
            <w:tcW w:w="489" w:type="dxa"/>
            <w:tcBorders/>
            <w:vAlign w:val="bottom"/>
          </w:tcPr>
          <w:p>
            <w:pPr>
              <w:pStyle w:val="TableContents"/>
              <w:bidi w:val="0"/>
              <w:spacing w:before="0" w:after="283"/>
              <w:jc w:val="left"/>
              <w:rPr/>
            </w:pPr>
            <w:r>
              <w:rPr/>
              <w:t>  </w:t>
            </w:r>
          </w:p>
        </w:tc>
        <w:tc>
          <w:tcPr>
            <w:tcW w:w="9108" w:type="dxa"/>
            <w:tcBorders/>
          </w:tcPr>
          <w:p>
            <w:pPr>
              <w:pStyle w:val="TableContents"/>
              <w:bidi w:val="0"/>
              <w:spacing w:before="0" w:after="283"/>
              <w:jc w:val="left"/>
              <w:rPr/>
            </w:pPr>
            <w:hyperlink r:id="rId25">
              <w:r>
                <w:rPr>
                  <w:rStyle w:val="InternetLink"/>
                </w:rPr>
                <w:t>Cayman Memorandum and Articles of Association (incorporated by reference to Exhibit 3.1 to Registrant’s Current Report on Form 8-K (File No. 001-39655) filed with the SEC on July 20, 2026)</w:t>
              </w:r>
            </w:hyperlink>
            <w:r>
              <w:rPr/>
              <w:t>.</w:t>
            </w:r>
          </w:p>
        </w:tc>
      </w:tr>
      <w:tr>
        <w:trPr>
          <w:trHeight w:val="120" w:hRule="atLeast"/>
        </w:trPr>
        <w:tc>
          <w:tcPr>
            <w:tcW w:w="608" w:type="dxa"/>
            <w:tcBorders/>
            <w:vAlign w:val="center"/>
          </w:tcPr>
          <w:p>
            <w:pPr>
              <w:pStyle w:val="TableContents"/>
              <w:bidi w:val="0"/>
              <w:spacing w:before="0" w:after="283"/>
              <w:jc w:val="left"/>
              <w:rPr>
                <w:sz w:val="4"/>
                <w:szCs w:val="4"/>
              </w:rPr>
            </w:pPr>
            <w:r>
              <w:rPr>
                <w:sz w:val="4"/>
                <w:szCs w:val="4"/>
              </w:rPr>
            </w:r>
          </w:p>
        </w:tc>
        <w:tc>
          <w:tcPr>
            <w:tcW w:w="9597" w:type="dxa"/>
            <w:gridSpan w:val="2"/>
            <w:tcBorders/>
            <w:vAlign w:val="center"/>
          </w:tcPr>
          <w:p>
            <w:pPr>
              <w:pStyle w:val="TableContents"/>
              <w:bidi w:val="0"/>
              <w:spacing w:before="0" w:after="283"/>
              <w:jc w:val="left"/>
              <w:rPr>
                <w:sz w:val="4"/>
                <w:szCs w:val="4"/>
              </w:rPr>
            </w:pPr>
            <w:r>
              <w:rPr>
                <w:sz w:val="4"/>
                <w:szCs w:val="4"/>
              </w:rPr>
            </w:r>
          </w:p>
        </w:tc>
      </w:tr>
      <w:tr>
        <w:trPr/>
        <w:tc>
          <w:tcPr>
            <w:tcW w:w="608" w:type="dxa"/>
            <w:tcBorders/>
          </w:tcPr>
          <w:p>
            <w:pPr>
              <w:pStyle w:val="TableContents"/>
              <w:bidi w:val="0"/>
              <w:spacing w:before="0" w:after="283"/>
              <w:jc w:val="left"/>
              <w:rPr/>
            </w:pPr>
            <w:r>
              <w:rPr/>
              <w:t>4.2*</w:t>
            </w:r>
          </w:p>
        </w:tc>
        <w:tc>
          <w:tcPr>
            <w:tcW w:w="489" w:type="dxa"/>
            <w:tcBorders/>
            <w:vAlign w:val="bottom"/>
          </w:tcPr>
          <w:p>
            <w:pPr>
              <w:pStyle w:val="TableContents"/>
              <w:bidi w:val="0"/>
              <w:spacing w:before="0" w:after="283"/>
              <w:jc w:val="left"/>
              <w:rPr/>
            </w:pPr>
            <w:r>
              <w:rPr/>
              <w:t>  </w:t>
            </w:r>
          </w:p>
        </w:tc>
        <w:tc>
          <w:tcPr>
            <w:tcW w:w="9108" w:type="dxa"/>
            <w:tcBorders/>
          </w:tcPr>
          <w:p>
            <w:pPr>
              <w:pStyle w:val="TableContents"/>
              <w:bidi w:val="0"/>
              <w:spacing w:before="0" w:after="283"/>
              <w:jc w:val="left"/>
              <w:rPr/>
            </w:pPr>
            <w:hyperlink w:anchor="d135820dex42.htm">
              <w:r>
                <w:rPr>
                  <w:rStyle w:val="InternetLink"/>
                </w:rPr>
                <w:t xml:space="preserve">Damora Therapeutics, Inc. 2026 Equity Incentive Plan. </w:t>
              </w:r>
            </w:hyperlink>
          </w:p>
        </w:tc>
      </w:tr>
      <w:tr>
        <w:trPr>
          <w:trHeight w:val="120" w:hRule="atLeast"/>
        </w:trPr>
        <w:tc>
          <w:tcPr>
            <w:tcW w:w="608" w:type="dxa"/>
            <w:tcBorders/>
            <w:vAlign w:val="center"/>
          </w:tcPr>
          <w:p>
            <w:pPr>
              <w:pStyle w:val="TableContents"/>
              <w:bidi w:val="0"/>
              <w:spacing w:before="0" w:after="283"/>
              <w:jc w:val="left"/>
              <w:rPr>
                <w:sz w:val="4"/>
                <w:szCs w:val="4"/>
              </w:rPr>
            </w:pPr>
            <w:r>
              <w:rPr>
                <w:sz w:val="4"/>
                <w:szCs w:val="4"/>
              </w:rPr>
            </w:r>
          </w:p>
        </w:tc>
        <w:tc>
          <w:tcPr>
            <w:tcW w:w="9597" w:type="dxa"/>
            <w:gridSpan w:val="2"/>
            <w:tcBorders/>
            <w:vAlign w:val="center"/>
          </w:tcPr>
          <w:p>
            <w:pPr>
              <w:pStyle w:val="TableContents"/>
              <w:bidi w:val="0"/>
              <w:spacing w:before="0" w:after="283"/>
              <w:jc w:val="left"/>
              <w:rPr>
                <w:sz w:val="4"/>
                <w:szCs w:val="4"/>
              </w:rPr>
            </w:pPr>
            <w:r>
              <w:rPr>
                <w:sz w:val="4"/>
                <w:szCs w:val="4"/>
              </w:rPr>
            </w:r>
          </w:p>
        </w:tc>
      </w:tr>
      <w:tr>
        <w:trPr/>
        <w:tc>
          <w:tcPr>
            <w:tcW w:w="608" w:type="dxa"/>
            <w:tcBorders/>
          </w:tcPr>
          <w:p>
            <w:pPr>
              <w:pStyle w:val="TableContents"/>
              <w:bidi w:val="0"/>
              <w:spacing w:before="0" w:after="283"/>
              <w:jc w:val="left"/>
              <w:rPr/>
            </w:pPr>
            <w:r>
              <w:rPr/>
              <w:t>4.3*</w:t>
            </w:r>
          </w:p>
        </w:tc>
        <w:tc>
          <w:tcPr>
            <w:tcW w:w="489" w:type="dxa"/>
            <w:tcBorders/>
            <w:vAlign w:val="bottom"/>
          </w:tcPr>
          <w:p>
            <w:pPr>
              <w:pStyle w:val="TableContents"/>
              <w:bidi w:val="0"/>
              <w:spacing w:before="0" w:after="283"/>
              <w:jc w:val="left"/>
              <w:rPr/>
            </w:pPr>
            <w:r>
              <w:rPr/>
              <w:t>  </w:t>
            </w:r>
          </w:p>
        </w:tc>
        <w:tc>
          <w:tcPr>
            <w:tcW w:w="9108" w:type="dxa"/>
            <w:tcBorders/>
          </w:tcPr>
          <w:p>
            <w:pPr>
              <w:pStyle w:val="TableContents"/>
              <w:bidi w:val="0"/>
              <w:spacing w:before="0" w:after="283"/>
              <w:jc w:val="left"/>
              <w:rPr/>
            </w:pPr>
            <w:hyperlink w:anchor="d135820dex43.htm">
              <w:r>
                <w:rPr>
                  <w:rStyle w:val="InternetLink"/>
                </w:rPr>
                <w:t xml:space="preserve">Damora Therapeutics, Inc. 2026 Employee Stock Purchase Plan. </w:t>
              </w:r>
            </w:hyperlink>
          </w:p>
        </w:tc>
      </w:tr>
      <w:tr>
        <w:trPr>
          <w:trHeight w:val="120" w:hRule="atLeast"/>
        </w:trPr>
        <w:tc>
          <w:tcPr>
            <w:tcW w:w="608" w:type="dxa"/>
            <w:tcBorders/>
            <w:vAlign w:val="center"/>
          </w:tcPr>
          <w:p>
            <w:pPr>
              <w:pStyle w:val="TableContents"/>
              <w:bidi w:val="0"/>
              <w:spacing w:before="0" w:after="283"/>
              <w:jc w:val="left"/>
              <w:rPr>
                <w:sz w:val="4"/>
                <w:szCs w:val="4"/>
              </w:rPr>
            </w:pPr>
            <w:r>
              <w:rPr>
                <w:sz w:val="4"/>
                <w:szCs w:val="4"/>
              </w:rPr>
            </w:r>
          </w:p>
        </w:tc>
        <w:tc>
          <w:tcPr>
            <w:tcW w:w="9597" w:type="dxa"/>
            <w:gridSpan w:val="2"/>
            <w:tcBorders/>
            <w:vAlign w:val="center"/>
          </w:tcPr>
          <w:p>
            <w:pPr>
              <w:pStyle w:val="TableContents"/>
              <w:bidi w:val="0"/>
              <w:spacing w:before="0" w:after="283"/>
              <w:jc w:val="left"/>
              <w:rPr>
                <w:sz w:val="4"/>
                <w:szCs w:val="4"/>
              </w:rPr>
            </w:pPr>
            <w:r>
              <w:rPr>
                <w:sz w:val="4"/>
                <w:szCs w:val="4"/>
              </w:rPr>
            </w:r>
          </w:p>
        </w:tc>
      </w:tr>
      <w:tr>
        <w:trPr/>
        <w:tc>
          <w:tcPr>
            <w:tcW w:w="608" w:type="dxa"/>
            <w:tcBorders/>
          </w:tcPr>
          <w:p>
            <w:pPr>
              <w:pStyle w:val="TableContents"/>
              <w:bidi w:val="0"/>
              <w:spacing w:before="0" w:after="283"/>
              <w:jc w:val="left"/>
              <w:rPr/>
            </w:pPr>
            <w:r>
              <w:rPr/>
              <w:t>4.4*</w:t>
            </w:r>
          </w:p>
        </w:tc>
        <w:tc>
          <w:tcPr>
            <w:tcW w:w="489" w:type="dxa"/>
            <w:tcBorders/>
            <w:vAlign w:val="bottom"/>
          </w:tcPr>
          <w:p>
            <w:pPr>
              <w:pStyle w:val="TableContents"/>
              <w:bidi w:val="0"/>
              <w:spacing w:before="0" w:after="283"/>
              <w:jc w:val="left"/>
              <w:rPr/>
            </w:pPr>
            <w:r>
              <w:rPr/>
              <w:t>  </w:t>
            </w:r>
          </w:p>
        </w:tc>
        <w:tc>
          <w:tcPr>
            <w:tcW w:w="9108" w:type="dxa"/>
            <w:tcBorders/>
          </w:tcPr>
          <w:p>
            <w:pPr>
              <w:pStyle w:val="TableContents"/>
              <w:bidi w:val="0"/>
              <w:spacing w:before="0" w:after="283"/>
              <w:jc w:val="left"/>
              <w:rPr/>
            </w:pPr>
            <w:hyperlink w:anchor="d135820dex44.htm">
              <w:r>
                <w:rPr>
                  <w:rStyle w:val="InternetLink"/>
                </w:rPr>
                <w:t xml:space="preserve">Damora Therapeutics, Inc. 2025 Equity Incentive Plan. </w:t>
              </w:r>
            </w:hyperlink>
          </w:p>
        </w:tc>
      </w:tr>
      <w:tr>
        <w:trPr>
          <w:trHeight w:val="120" w:hRule="atLeast"/>
        </w:trPr>
        <w:tc>
          <w:tcPr>
            <w:tcW w:w="608" w:type="dxa"/>
            <w:tcBorders/>
            <w:vAlign w:val="center"/>
          </w:tcPr>
          <w:p>
            <w:pPr>
              <w:pStyle w:val="TableContents"/>
              <w:bidi w:val="0"/>
              <w:spacing w:before="0" w:after="283"/>
              <w:jc w:val="left"/>
              <w:rPr>
                <w:sz w:val="4"/>
                <w:szCs w:val="4"/>
              </w:rPr>
            </w:pPr>
            <w:r>
              <w:rPr>
                <w:sz w:val="4"/>
                <w:szCs w:val="4"/>
              </w:rPr>
            </w:r>
          </w:p>
        </w:tc>
        <w:tc>
          <w:tcPr>
            <w:tcW w:w="9597" w:type="dxa"/>
            <w:gridSpan w:val="2"/>
            <w:tcBorders/>
            <w:vAlign w:val="center"/>
          </w:tcPr>
          <w:p>
            <w:pPr>
              <w:pStyle w:val="TableContents"/>
              <w:bidi w:val="0"/>
              <w:spacing w:before="0" w:after="283"/>
              <w:jc w:val="left"/>
              <w:rPr>
                <w:sz w:val="4"/>
                <w:szCs w:val="4"/>
              </w:rPr>
            </w:pPr>
            <w:r>
              <w:rPr>
                <w:sz w:val="4"/>
                <w:szCs w:val="4"/>
              </w:rPr>
            </w:r>
          </w:p>
        </w:tc>
      </w:tr>
      <w:tr>
        <w:trPr/>
        <w:tc>
          <w:tcPr>
            <w:tcW w:w="608" w:type="dxa"/>
            <w:tcBorders/>
          </w:tcPr>
          <w:p>
            <w:pPr>
              <w:pStyle w:val="TableContents"/>
              <w:bidi w:val="0"/>
              <w:spacing w:before="0" w:after="283"/>
              <w:jc w:val="left"/>
              <w:rPr/>
            </w:pPr>
            <w:r>
              <w:rPr/>
              <w:t>4.5*</w:t>
            </w:r>
          </w:p>
        </w:tc>
        <w:tc>
          <w:tcPr>
            <w:tcW w:w="489" w:type="dxa"/>
            <w:tcBorders/>
            <w:vAlign w:val="bottom"/>
          </w:tcPr>
          <w:p>
            <w:pPr>
              <w:pStyle w:val="TableContents"/>
              <w:bidi w:val="0"/>
              <w:spacing w:before="0" w:after="283"/>
              <w:jc w:val="left"/>
              <w:rPr/>
            </w:pPr>
            <w:r>
              <w:rPr/>
              <w:t>  </w:t>
            </w:r>
          </w:p>
        </w:tc>
        <w:tc>
          <w:tcPr>
            <w:tcW w:w="9108" w:type="dxa"/>
            <w:tcBorders/>
          </w:tcPr>
          <w:p>
            <w:pPr>
              <w:pStyle w:val="TableContents"/>
              <w:bidi w:val="0"/>
              <w:spacing w:before="0" w:after="283"/>
              <w:jc w:val="left"/>
              <w:rPr/>
            </w:pPr>
            <w:hyperlink w:anchor="d135820dex45.htm">
              <w:r>
                <w:rPr>
                  <w:rStyle w:val="InternetLink"/>
                </w:rPr>
                <w:t xml:space="preserve">Damora Therapeutics, Inc. 2022 Inducement Plan (f/k/a Galecto, Inc. 2022 Inducement Plan). </w:t>
              </w:r>
            </w:hyperlink>
          </w:p>
        </w:tc>
      </w:tr>
      <w:tr>
        <w:trPr>
          <w:trHeight w:val="120" w:hRule="atLeast"/>
        </w:trPr>
        <w:tc>
          <w:tcPr>
            <w:tcW w:w="608" w:type="dxa"/>
            <w:tcBorders/>
            <w:vAlign w:val="center"/>
          </w:tcPr>
          <w:p>
            <w:pPr>
              <w:pStyle w:val="TableContents"/>
              <w:bidi w:val="0"/>
              <w:spacing w:before="0" w:after="283"/>
              <w:jc w:val="left"/>
              <w:rPr>
                <w:sz w:val="4"/>
                <w:szCs w:val="4"/>
              </w:rPr>
            </w:pPr>
            <w:r>
              <w:rPr>
                <w:sz w:val="4"/>
                <w:szCs w:val="4"/>
              </w:rPr>
            </w:r>
          </w:p>
        </w:tc>
        <w:tc>
          <w:tcPr>
            <w:tcW w:w="9597" w:type="dxa"/>
            <w:gridSpan w:val="2"/>
            <w:tcBorders/>
            <w:vAlign w:val="center"/>
          </w:tcPr>
          <w:p>
            <w:pPr>
              <w:pStyle w:val="TableContents"/>
              <w:bidi w:val="0"/>
              <w:spacing w:before="0" w:after="283"/>
              <w:jc w:val="left"/>
              <w:rPr>
                <w:sz w:val="4"/>
                <w:szCs w:val="4"/>
              </w:rPr>
            </w:pPr>
            <w:r>
              <w:rPr>
                <w:sz w:val="4"/>
                <w:szCs w:val="4"/>
              </w:rPr>
            </w:r>
          </w:p>
        </w:tc>
      </w:tr>
      <w:tr>
        <w:trPr/>
        <w:tc>
          <w:tcPr>
            <w:tcW w:w="608" w:type="dxa"/>
            <w:tcBorders/>
          </w:tcPr>
          <w:p>
            <w:pPr>
              <w:pStyle w:val="TableContents"/>
              <w:bidi w:val="0"/>
              <w:spacing w:before="0" w:after="283"/>
              <w:jc w:val="left"/>
              <w:rPr/>
            </w:pPr>
            <w:r>
              <w:rPr/>
              <w:t>4.6*</w:t>
            </w:r>
          </w:p>
        </w:tc>
        <w:tc>
          <w:tcPr>
            <w:tcW w:w="489" w:type="dxa"/>
            <w:tcBorders/>
            <w:vAlign w:val="bottom"/>
          </w:tcPr>
          <w:p>
            <w:pPr>
              <w:pStyle w:val="TableContents"/>
              <w:bidi w:val="0"/>
              <w:spacing w:before="0" w:after="283"/>
              <w:jc w:val="left"/>
              <w:rPr/>
            </w:pPr>
            <w:r>
              <w:rPr/>
              <w:t>  </w:t>
            </w:r>
          </w:p>
        </w:tc>
        <w:tc>
          <w:tcPr>
            <w:tcW w:w="9108" w:type="dxa"/>
            <w:tcBorders/>
          </w:tcPr>
          <w:p>
            <w:pPr>
              <w:pStyle w:val="TableContents"/>
              <w:bidi w:val="0"/>
              <w:spacing w:before="0" w:after="283"/>
              <w:jc w:val="left"/>
              <w:rPr/>
            </w:pPr>
            <w:hyperlink w:anchor="d135820dex46.htm">
              <w:r>
                <w:rPr>
                  <w:rStyle w:val="InternetLink"/>
                </w:rPr>
                <w:t xml:space="preserve">Damora Therapeutics, Inc. 2020 Stock Option and Grant Plan (f/k/a Galecto, Inc. 2020 Stock Option and Grant Plan). </w:t>
              </w:r>
            </w:hyperlink>
          </w:p>
        </w:tc>
      </w:tr>
      <w:tr>
        <w:trPr>
          <w:trHeight w:val="120" w:hRule="atLeast"/>
        </w:trPr>
        <w:tc>
          <w:tcPr>
            <w:tcW w:w="608" w:type="dxa"/>
            <w:tcBorders/>
            <w:vAlign w:val="center"/>
          </w:tcPr>
          <w:p>
            <w:pPr>
              <w:pStyle w:val="TableContents"/>
              <w:bidi w:val="0"/>
              <w:spacing w:before="0" w:after="283"/>
              <w:jc w:val="left"/>
              <w:rPr>
                <w:sz w:val="4"/>
                <w:szCs w:val="4"/>
              </w:rPr>
            </w:pPr>
            <w:r>
              <w:rPr>
                <w:sz w:val="4"/>
                <w:szCs w:val="4"/>
              </w:rPr>
            </w:r>
          </w:p>
        </w:tc>
        <w:tc>
          <w:tcPr>
            <w:tcW w:w="9597" w:type="dxa"/>
            <w:gridSpan w:val="2"/>
            <w:tcBorders/>
            <w:vAlign w:val="center"/>
          </w:tcPr>
          <w:p>
            <w:pPr>
              <w:pStyle w:val="TableContents"/>
              <w:bidi w:val="0"/>
              <w:spacing w:before="0" w:after="283"/>
              <w:jc w:val="left"/>
              <w:rPr>
                <w:sz w:val="4"/>
                <w:szCs w:val="4"/>
              </w:rPr>
            </w:pPr>
            <w:r>
              <w:rPr>
                <w:sz w:val="4"/>
                <w:szCs w:val="4"/>
              </w:rPr>
            </w:r>
          </w:p>
        </w:tc>
      </w:tr>
      <w:tr>
        <w:trPr/>
        <w:tc>
          <w:tcPr>
            <w:tcW w:w="608" w:type="dxa"/>
            <w:tcBorders/>
          </w:tcPr>
          <w:p>
            <w:pPr>
              <w:pStyle w:val="TableContents"/>
              <w:bidi w:val="0"/>
              <w:spacing w:before="0" w:after="283"/>
              <w:jc w:val="left"/>
              <w:rPr/>
            </w:pPr>
            <w:r>
              <w:rPr/>
              <w:t>4.7*</w:t>
            </w:r>
          </w:p>
        </w:tc>
        <w:tc>
          <w:tcPr>
            <w:tcW w:w="489" w:type="dxa"/>
            <w:tcBorders/>
            <w:vAlign w:val="bottom"/>
          </w:tcPr>
          <w:p>
            <w:pPr>
              <w:pStyle w:val="TableContents"/>
              <w:bidi w:val="0"/>
              <w:spacing w:before="0" w:after="283"/>
              <w:jc w:val="left"/>
              <w:rPr/>
            </w:pPr>
            <w:r>
              <w:rPr/>
              <w:t>  </w:t>
            </w:r>
          </w:p>
        </w:tc>
        <w:tc>
          <w:tcPr>
            <w:tcW w:w="9108" w:type="dxa"/>
            <w:tcBorders/>
          </w:tcPr>
          <w:p>
            <w:pPr>
              <w:pStyle w:val="TableContents"/>
              <w:bidi w:val="0"/>
              <w:spacing w:before="0" w:after="283"/>
              <w:jc w:val="left"/>
              <w:rPr/>
            </w:pPr>
            <w:hyperlink w:anchor="d135820dex47.htm">
              <w:r>
                <w:rPr>
                  <w:rStyle w:val="InternetLink"/>
                </w:rPr>
                <w:t xml:space="preserve">Damora Therapeutics, Inc. 2020 Equity Incentive Plan (f/k/a Galecto, Inc. 2020 Equity Incentive Plan). </w:t>
              </w:r>
            </w:hyperlink>
          </w:p>
        </w:tc>
      </w:tr>
      <w:tr>
        <w:trPr>
          <w:trHeight w:val="120" w:hRule="atLeast"/>
        </w:trPr>
        <w:tc>
          <w:tcPr>
            <w:tcW w:w="608" w:type="dxa"/>
            <w:tcBorders/>
            <w:vAlign w:val="center"/>
          </w:tcPr>
          <w:p>
            <w:pPr>
              <w:pStyle w:val="TableContents"/>
              <w:bidi w:val="0"/>
              <w:spacing w:before="0" w:after="283"/>
              <w:jc w:val="left"/>
              <w:rPr>
                <w:sz w:val="4"/>
                <w:szCs w:val="4"/>
              </w:rPr>
            </w:pPr>
            <w:r>
              <w:rPr>
                <w:sz w:val="4"/>
                <w:szCs w:val="4"/>
              </w:rPr>
            </w:r>
          </w:p>
        </w:tc>
        <w:tc>
          <w:tcPr>
            <w:tcW w:w="9597" w:type="dxa"/>
            <w:gridSpan w:val="2"/>
            <w:tcBorders/>
            <w:vAlign w:val="center"/>
          </w:tcPr>
          <w:p>
            <w:pPr>
              <w:pStyle w:val="TableContents"/>
              <w:bidi w:val="0"/>
              <w:spacing w:before="0" w:after="283"/>
              <w:jc w:val="left"/>
              <w:rPr>
                <w:sz w:val="4"/>
                <w:szCs w:val="4"/>
              </w:rPr>
            </w:pPr>
            <w:r>
              <w:rPr>
                <w:sz w:val="4"/>
                <w:szCs w:val="4"/>
              </w:rPr>
            </w:r>
          </w:p>
        </w:tc>
      </w:tr>
      <w:tr>
        <w:trPr/>
        <w:tc>
          <w:tcPr>
            <w:tcW w:w="608" w:type="dxa"/>
            <w:tcBorders/>
          </w:tcPr>
          <w:p>
            <w:pPr>
              <w:pStyle w:val="TableContents"/>
              <w:bidi w:val="0"/>
              <w:spacing w:before="0" w:after="283"/>
              <w:jc w:val="left"/>
              <w:rPr/>
            </w:pPr>
            <w:r>
              <w:rPr/>
              <w:t>5.1*</w:t>
            </w:r>
          </w:p>
        </w:tc>
        <w:tc>
          <w:tcPr>
            <w:tcW w:w="489" w:type="dxa"/>
            <w:tcBorders/>
            <w:vAlign w:val="bottom"/>
          </w:tcPr>
          <w:p>
            <w:pPr>
              <w:pStyle w:val="TableContents"/>
              <w:bidi w:val="0"/>
              <w:spacing w:before="0" w:after="283"/>
              <w:jc w:val="left"/>
              <w:rPr/>
            </w:pPr>
            <w:r>
              <w:rPr/>
              <w:t>  </w:t>
            </w:r>
          </w:p>
        </w:tc>
        <w:tc>
          <w:tcPr>
            <w:tcW w:w="9108" w:type="dxa"/>
            <w:tcBorders/>
          </w:tcPr>
          <w:p>
            <w:pPr>
              <w:pStyle w:val="TableContents"/>
              <w:bidi w:val="0"/>
              <w:spacing w:before="0" w:after="283"/>
              <w:jc w:val="left"/>
              <w:rPr/>
            </w:pPr>
            <w:hyperlink w:anchor="d135820dex51.htm">
              <w:r>
                <w:rPr>
                  <w:rStyle w:val="InternetLink"/>
                </w:rPr>
                <w:t xml:space="preserve">Opinion of Walkers (Cayman) LLP. </w:t>
              </w:r>
            </w:hyperlink>
          </w:p>
        </w:tc>
      </w:tr>
      <w:tr>
        <w:trPr>
          <w:trHeight w:val="120" w:hRule="atLeast"/>
        </w:trPr>
        <w:tc>
          <w:tcPr>
            <w:tcW w:w="608" w:type="dxa"/>
            <w:tcBorders/>
            <w:vAlign w:val="center"/>
          </w:tcPr>
          <w:p>
            <w:pPr>
              <w:pStyle w:val="TableContents"/>
              <w:bidi w:val="0"/>
              <w:spacing w:before="0" w:after="283"/>
              <w:jc w:val="left"/>
              <w:rPr>
                <w:sz w:val="4"/>
                <w:szCs w:val="4"/>
              </w:rPr>
            </w:pPr>
            <w:r>
              <w:rPr>
                <w:sz w:val="4"/>
                <w:szCs w:val="4"/>
              </w:rPr>
            </w:r>
          </w:p>
        </w:tc>
        <w:tc>
          <w:tcPr>
            <w:tcW w:w="9597" w:type="dxa"/>
            <w:gridSpan w:val="2"/>
            <w:tcBorders/>
            <w:vAlign w:val="center"/>
          </w:tcPr>
          <w:p>
            <w:pPr>
              <w:pStyle w:val="TableContents"/>
              <w:bidi w:val="0"/>
              <w:spacing w:before="0" w:after="283"/>
              <w:jc w:val="left"/>
              <w:rPr>
                <w:sz w:val="4"/>
                <w:szCs w:val="4"/>
              </w:rPr>
            </w:pPr>
            <w:r>
              <w:rPr>
                <w:sz w:val="4"/>
                <w:szCs w:val="4"/>
              </w:rPr>
            </w:r>
          </w:p>
        </w:tc>
      </w:tr>
      <w:tr>
        <w:trPr/>
        <w:tc>
          <w:tcPr>
            <w:tcW w:w="608" w:type="dxa"/>
            <w:tcBorders/>
          </w:tcPr>
          <w:p>
            <w:pPr>
              <w:pStyle w:val="TableContents"/>
              <w:bidi w:val="0"/>
              <w:spacing w:before="0" w:after="283"/>
              <w:jc w:val="left"/>
              <w:rPr/>
            </w:pPr>
            <w:r>
              <w:rPr/>
              <w:t>23.1*</w:t>
            </w:r>
          </w:p>
        </w:tc>
        <w:tc>
          <w:tcPr>
            <w:tcW w:w="489" w:type="dxa"/>
            <w:tcBorders/>
            <w:vAlign w:val="bottom"/>
          </w:tcPr>
          <w:p>
            <w:pPr>
              <w:pStyle w:val="TableContents"/>
              <w:bidi w:val="0"/>
              <w:spacing w:before="0" w:after="283"/>
              <w:jc w:val="left"/>
              <w:rPr/>
            </w:pPr>
            <w:r>
              <w:rPr/>
              <w:t>  </w:t>
            </w:r>
          </w:p>
        </w:tc>
        <w:tc>
          <w:tcPr>
            <w:tcW w:w="9108" w:type="dxa"/>
            <w:tcBorders/>
          </w:tcPr>
          <w:p>
            <w:pPr>
              <w:pStyle w:val="TableContents"/>
              <w:bidi w:val="0"/>
              <w:spacing w:before="0" w:after="283"/>
              <w:jc w:val="left"/>
              <w:rPr/>
            </w:pPr>
            <w:hyperlink w:anchor="d135820dex231.htm">
              <w:r>
                <w:rPr>
                  <w:rStyle w:val="InternetLink"/>
                </w:rPr>
                <w:t xml:space="preserve">Consent of EY Godkendt Revisionspartnerselskab, independent registered public accounting firm. </w:t>
              </w:r>
            </w:hyperlink>
          </w:p>
        </w:tc>
      </w:tr>
      <w:tr>
        <w:trPr>
          <w:trHeight w:val="120" w:hRule="atLeast"/>
        </w:trPr>
        <w:tc>
          <w:tcPr>
            <w:tcW w:w="608" w:type="dxa"/>
            <w:tcBorders/>
            <w:vAlign w:val="center"/>
          </w:tcPr>
          <w:p>
            <w:pPr>
              <w:pStyle w:val="TableContents"/>
              <w:bidi w:val="0"/>
              <w:spacing w:before="0" w:after="283"/>
              <w:jc w:val="left"/>
              <w:rPr>
                <w:sz w:val="4"/>
                <w:szCs w:val="4"/>
              </w:rPr>
            </w:pPr>
            <w:r>
              <w:rPr>
                <w:sz w:val="4"/>
                <w:szCs w:val="4"/>
              </w:rPr>
            </w:r>
          </w:p>
        </w:tc>
        <w:tc>
          <w:tcPr>
            <w:tcW w:w="9597" w:type="dxa"/>
            <w:gridSpan w:val="2"/>
            <w:tcBorders/>
            <w:vAlign w:val="center"/>
          </w:tcPr>
          <w:p>
            <w:pPr>
              <w:pStyle w:val="TableContents"/>
              <w:bidi w:val="0"/>
              <w:spacing w:before="0" w:after="283"/>
              <w:jc w:val="left"/>
              <w:rPr>
                <w:sz w:val="4"/>
                <w:szCs w:val="4"/>
              </w:rPr>
            </w:pPr>
            <w:r>
              <w:rPr>
                <w:sz w:val="4"/>
                <w:szCs w:val="4"/>
              </w:rPr>
            </w:r>
          </w:p>
        </w:tc>
      </w:tr>
      <w:tr>
        <w:trPr/>
        <w:tc>
          <w:tcPr>
            <w:tcW w:w="608" w:type="dxa"/>
            <w:tcBorders/>
          </w:tcPr>
          <w:p>
            <w:pPr>
              <w:pStyle w:val="TableContents"/>
              <w:bidi w:val="0"/>
              <w:spacing w:before="0" w:after="283"/>
              <w:jc w:val="left"/>
              <w:rPr/>
            </w:pPr>
            <w:r>
              <w:rPr/>
              <w:t>23.2*</w:t>
            </w:r>
          </w:p>
        </w:tc>
        <w:tc>
          <w:tcPr>
            <w:tcW w:w="489" w:type="dxa"/>
            <w:tcBorders/>
            <w:vAlign w:val="bottom"/>
          </w:tcPr>
          <w:p>
            <w:pPr>
              <w:pStyle w:val="TableContents"/>
              <w:bidi w:val="0"/>
              <w:spacing w:before="0" w:after="283"/>
              <w:jc w:val="left"/>
              <w:rPr/>
            </w:pPr>
            <w:r>
              <w:rPr/>
              <w:t>  </w:t>
            </w:r>
          </w:p>
        </w:tc>
        <w:tc>
          <w:tcPr>
            <w:tcW w:w="9108" w:type="dxa"/>
            <w:tcBorders/>
          </w:tcPr>
          <w:p>
            <w:pPr>
              <w:pStyle w:val="TableContents"/>
              <w:bidi w:val="0"/>
              <w:spacing w:before="0" w:after="283"/>
              <w:jc w:val="left"/>
              <w:rPr/>
            </w:pPr>
            <w:hyperlink w:anchor="d135820dex51.htm">
              <w:r>
                <w:rPr>
                  <w:rStyle w:val="InternetLink"/>
                </w:rPr>
                <w:t xml:space="preserve">Consent of Walkers Cayman LLP (included in Exhibit 5.1). </w:t>
              </w:r>
            </w:hyperlink>
          </w:p>
        </w:tc>
      </w:tr>
      <w:tr>
        <w:trPr>
          <w:trHeight w:val="120" w:hRule="atLeast"/>
        </w:trPr>
        <w:tc>
          <w:tcPr>
            <w:tcW w:w="608" w:type="dxa"/>
            <w:tcBorders/>
            <w:vAlign w:val="center"/>
          </w:tcPr>
          <w:p>
            <w:pPr>
              <w:pStyle w:val="TableContents"/>
              <w:bidi w:val="0"/>
              <w:spacing w:before="0" w:after="283"/>
              <w:jc w:val="left"/>
              <w:rPr>
                <w:sz w:val="4"/>
                <w:szCs w:val="4"/>
              </w:rPr>
            </w:pPr>
            <w:r>
              <w:rPr>
                <w:sz w:val="4"/>
                <w:szCs w:val="4"/>
              </w:rPr>
            </w:r>
          </w:p>
        </w:tc>
        <w:tc>
          <w:tcPr>
            <w:tcW w:w="9597" w:type="dxa"/>
            <w:gridSpan w:val="2"/>
            <w:tcBorders/>
            <w:vAlign w:val="center"/>
          </w:tcPr>
          <w:p>
            <w:pPr>
              <w:pStyle w:val="TableContents"/>
              <w:bidi w:val="0"/>
              <w:spacing w:before="0" w:after="283"/>
              <w:jc w:val="left"/>
              <w:rPr>
                <w:sz w:val="4"/>
                <w:szCs w:val="4"/>
              </w:rPr>
            </w:pPr>
            <w:r>
              <w:rPr>
                <w:sz w:val="4"/>
                <w:szCs w:val="4"/>
              </w:rPr>
            </w:r>
          </w:p>
        </w:tc>
      </w:tr>
      <w:tr>
        <w:trPr/>
        <w:tc>
          <w:tcPr>
            <w:tcW w:w="608" w:type="dxa"/>
            <w:tcBorders/>
          </w:tcPr>
          <w:p>
            <w:pPr>
              <w:pStyle w:val="TableContents"/>
              <w:bidi w:val="0"/>
              <w:spacing w:before="0" w:after="283"/>
              <w:jc w:val="left"/>
              <w:rPr/>
            </w:pPr>
            <w:r>
              <w:rPr/>
              <w:t>24.1*</w:t>
            </w:r>
          </w:p>
        </w:tc>
        <w:tc>
          <w:tcPr>
            <w:tcW w:w="489" w:type="dxa"/>
            <w:tcBorders/>
            <w:vAlign w:val="bottom"/>
          </w:tcPr>
          <w:p>
            <w:pPr>
              <w:pStyle w:val="TableContents"/>
              <w:bidi w:val="0"/>
              <w:spacing w:before="0" w:after="283"/>
              <w:jc w:val="left"/>
              <w:rPr/>
            </w:pPr>
            <w:r>
              <w:rPr/>
              <w:t>  </w:t>
            </w:r>
          </w:p>
        </w:tc>
        <w:tc>
          <w:tcPr>
            <w:tcW w:w="9108" w:type="dxa"/>
            <w:tcBorders/>
          </w:tcPr>
          <w:p>
            <w:pPr>
              <w:pStyle w:val="TableContents"/>
              <w:bidi w:val="0"/>
              <w:spacing w:before="0" w:after="283"/>
              <w:jc w:val="left"/>
              <w:rPr/>
            </w:pPr>
            <w:hyperlink w:anchor="sig">
              <w:r>
                <w:rPr>
                  <w:rStyle w:val="InternetLink"/>
                </w:rPr>
                <w:t xml:space="preserve">Power of Attorney (included on the signature page to the registration statement).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9. Undertakings.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the Registration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10"/>
        <w:gridCol w:w="8371"/>
      </w:tblGrid>
      <w:tr>
        <w:trPr/>
        <w:tc>
          <w:tcPr>
            <w:tcW w:w="132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the Registration Statements (or the most recent post-effective amendment thereof) which, individually or in the aggregate, represent a fundamental change in the information set forth in the Registration Statements.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the Registration Statement or any material change to such information in the Registration Statements;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paragraphs (a)(1)(i) and (a)(1)(ii)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Statements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(h)</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bookmarkStart w:id="2" w:name="sig"/>
      <w:bookmarkEnd w:id="2"/>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S-8 and has duly caused this Post-Effective Amendment No. 1 to the Registration Statements to be signed on its behalf by the undersigned, thereunto duly authorized, in Waltham, Massachusetts, on August 10,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0"/>
        <w:gridCol w:w="60"/>
        <w:gridCol w:w="3622"/>
      </w:tblGrid>
      <w:tr>
        <w:trPr/>
        <w:tc>
          <w:tcPr>
            <w:tcW w:w="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Damora Therapeutics, Inc.</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Jennifer Jarrett</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Jennifer Jarrett</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President and Chief Executive Officer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KNOW ALL BY THESE PRESENTS, that each individual whose signature appears below hereby constitutes and appoints Jennifer Jarrett and Brian Burkavage, and each of them, either of whom may act without the joinder of the other,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on Form S-8, and to file the same, with all exhibits thereto, and all documents in connection therewith, with the SEC, granting unto each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his or her or their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this Post-Effective Amendment No. 1 to the Registration Statements has been signed by the following persons in the capacities and on the date indicated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16"/>
        <w:gridCol w:w="120"/>
        <w:gridCol w:w="4411"/>
        <w:gridCol w:w="107"/>
        <w:gridCol w:w="1751"/>
      </w:tblGrid>
      <w:tr>
        <w:trPr/>
        <w:tc>
          <w:tcPr>
            <w:tcW w:w="381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411"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r>
      <w:tr>
        <w:trPr/>
        <w:tc>
          <w:tcPr>
            <w:tcW w:w="3816" w:type="dxa"/>
            <w:tcBorders/>
            <w:vAlign w:val="bottom"/>
          </w:tcPr>
          <w:p>
            <w:pPr>
              <w:pStyle w:val="TableContents"/>
              <w:bidi w:val="0"/>
              <w:spacing w:before="0" w:after="283"/>
              <w:jc w:val="center"/>
              <w:rPr>
                <w:b/>
              </w:rPr>
            </w:pPr>
            <w:r>
              <w:rPr>
                <w:b/>
              </w:rPr>
              <w:t>Signature</w:t>
            </w:r>
          </w:p>
        </w:tc>
        <w:tc>
          <w:tcPr>
            <w:tcW w:w="120" w:type="dxa"/>
            <w:tcBorders/>
            <w:vAlign w:val="bottom"/>
          </w:tcPr>
          <w:p>
            <w:pPr>
              <w:pStyle w:val="TableContents"/>
              <w:bidi w:val="0"/>
              <w:spacing w:before="0" w:after="283"/>
              <w:jc w:val="left"/>
              <w:rPr/>
            </w:pPr>
            <w:r>
              <w:rPr/>
              <w:t>  </w:t>
            </w:r>
          </w:p>
        </w:tc>
        <w:tc>
          <w:tcPr>
            <w:tcW w:w="4411" w:type="dxa"/>
            <w:tcBorders/>
            <w:vAlign w:val="bottom"/>
          </w:tcPr>
          <w:p>
            <w:pPr>
              <w:pStyle w:val="TableContents"/>
              <w:bidi w:val="0"/>
              <w:spacing w:before="0" w:after="283"/>
              <w:jc w:val="center"/>
              <w:rPr>
                <w:b/>
              </w:rPr>
            </w:pPr>
            <w:r>
              <w:rPr>
                <w:b/>
              </w:rPr>
              <w:t>Title</w:t>
            </w:r>
          </w:p>
        </w:tc>
        <w:tc>
          <w:tcPr>
            <w:tcW w:w="107" w:type="dxa"/>
            <w:tcBorders/>
            <w:vAlign w:val="bottom"/>
          </w:tcPr>
          <w:p>
            <w:pPr>
              <w:pStyle w:val="TableContents"/>
              <w:bidi w:val="0"/>
              <w:spacing w:before="0" w:after="283"/>
              <w:jc w:val="left"/>
              <w:rPr/>
            </w:pPr>
            <w:r>
              <w:rPr/>
              <w:t> </w:t>
            </w:r>
          </w:p>
        </w:tc>
        <w:tc>
          <w:tcPr>
            <w:tcW w:w="1751" w:type="dxa"/>
            <w:tcBorders/>
            <w:vAlign w:val="bottom"/>
          </w:tcPr>
          <w:p>
            <w:pPr>
              <w:pStyle w:val="TableContents"/>
              <w:bidi w:val="0"/>
              <w:spacing w:before="0" w:after="283"/>
              <w:jc w:val="center"/>
              <w:rPr>
                <w:b/>
              </w:rPr>
            </w:pPr>
            <w:r>
              <w:rPr>
                <w:b/>
              </w:rPr>
              <w:t>Date</w:t>
            </w:r>
          </w:p>
        </w:tc>
      </w:tr>
      <w:tr>
        <w:trPr>
          <w:trHeight w:val="120" w:hRule="atLeast"/>
        </w:trPr>
        <w:tc>
          <w:tcPr>
            <w:tcW w:w="3816" w:type="dxa"/>
            <w:tcBorders/>
            <w:vAlign w:val="center"/>
          </w:tcPr>
          <w:p>
            <w:pPr>
              <w:pStyle w:val="TableContents"/>
              <w:bidi w:val="0"/>
              <w:spacing w:before="0" w:after="283"/>
              <w:jc w:val="left"/>
              <w:rPr>
                <w:sz w:val="4"/>
                <w:szCs w:val="4"/>
              </w:rPr>
            </w:pPr>
            <w:r>
              <w:rPr>
                <w:sz w:val="4"/>
                <w:szCs w:val="4"/>
              </w:rPr>
            </w:r>
          </w:p>
        </w:tc>
        <w:tc>
          <w:tcPr>
            <w:tcW w:w="4531" w:type="dxa"/>
            <w:gridSpan w:val="2"/>
            <w:tcBorders/>
            <w:vAlign w:val="center"/>
          </w:tcPr>
          <w:p>
            <w:pPr>
              <w:pStyle w:val="TableContents"/>
              <w:bidi w:val="0"/>
              <w:spacing w:before="0" w:after="283"/>
              <w:jc w:val="left"/>
              <w:rPr>
                <w:sz w:val="4"/>
                <w:szCs w:val="4"/>
              </w:rPr>
            </w:pPr>
            <w:r>
              <w:rPr>
                <w:sz w:val="4"/>
                <w:szCs w:val="4"/>
              </w:rPr>
            </w:r>
          </w:p>
        </w:tc>
        <w:tc>
          <w:tcPr>
            <w:tcW w:w="1858" w:type="dxa"/>
            <w:gridSpan w:val="2"/>
            <w:tcBorders/>
            <w:vAlign w:val="center"/>
          </w:tcPr>
          <w:p>
            <w:pPr>
              <w:pStyle w:val="TableContents"/>
              <w:bidi w:val="0"/>
              <w:spacing w:before="0" w:after="283"/>
              <w:jc w:val="left"/>
              <w:rPr>
                <w:sz w:val="4"/>
                <w:szCs w:val="4"/>
              </w:rPr>
            </w:pPr>
            <w:r>
              <w:rPr>
                <w:sz w:val="4"/>
                <w:szCs w:val="4"/>
              </w:rPr>
            </w:r>
          </w:p>
        </w:tc>
      </w:tr>
      <w:tr>
        <w:trPr/>
        <w:tc>
          <w:tcPr>
            <w:tcW w:w="381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Jennifer Jarrett</w:t>
            </w:r>
          </w:p>
          <w:p>
            <w:pPr>
              <w:pStyle w:val="TableContents"/>
              <w:bidi w:val="0"/>
              <w:spacing w:before="0" w:after="20"/>
              <w:jc w:val="center"/>
              <w:rPr>
                <w:rFonts w:ascii="Times New Roman" w:hAnsi="Times New Roman"/>
                <w:sz w:val="20"/>
              </w:rPr>
            </w:pPr>
            <w:r>
              <w:rPr>
                <w:rFonts w:ascii="Times New Roman" w:hAnsi="Times New Roman"/>
                <w:sz w:val="20"/>
              </w:rPr>
              <w:t>Jennifer Jarrett</w:t>
            </w:r>
          </w:p>
        </w:tc>
        <w:tc>
          <w:tcPr>
            <w:tcW w:w="120" w:type="dxa"/>
            <w:tcBorders/>
            <w:vAlign w:val="bottom"/>
          </w:tcPr>
          <w:p>
            <w:pPr>
              <w:pStyle w:val="TableContents"/>
              <w:bidi w:val="0"/>
              <w:spacing w:before="0" w:after="283"/>
              <w:jc w:val="left"/>
              <w:rPr/>
            </w:pPr>
            <w:r>
              <w:rPr/>
              <w:t>  </w:t>
            </w:r>
          </w:p>
        </w:tc>
        <w:tc>
          <w:tcPr>
            <w:tcW w:w="4411" w:type="dxa"/>
            <w:tcBorders/>
          </w:tcPr>
          <w:p>
            <w:pPr>
              <w:pStyle w:val="TableContents"/>
              <w:bidi w:val="0"/>
              <w:spacing w:before="0" w:after="283"/>
              <w:jc w:val="center"/>
              <w:rPr/>
            </w:pPr>
            <w:r>
              <w:rPr/>
              <w:t>President, Chief Executive Officer and Director (Principal Executive Officer)</w:t>
            </w:r>
          </w:p>
        </w:tc>
        <w:tc>
          <w:tcPr>
            <w:tcW w:w="107" w:type="dxa"/>
            <w:tcBorders/>
            <w:vAlign w:val="bottom"/>
          </w:tcPr>
          <w:p>
            <w:pPr>
              <w:pStyle w:val="TableContents"/>
              <w:bidi w:val="0"/>
              <w:spacing w:before="0" w:after="283"/>
              <w:jc w:val="left"/>
              <w:rPr/>
            </w:pPr>
            <w:r>
              <w:rPr/>
              <w:t> </w:t>
            </w:r>
          </w:p>
        </w:tc>
        <w:tc>
          <w:tcPr>
            <w:tcW w:w="1751" w:type="dxa"/>
            <w:tcBorders/>
          </w:tcPr>
          <w:p>
            <w:pPr>
              <w:pStyle w:val="TableContents"/>
              <w:bidi w:val="0"/>
              <w:spacing w:before="0" w:after="283"/>
              <w:jc w:val="left"/>
              <w:rPr/>
            </w:pPr>
            <w:r>
              <w:rPr/>
              <w:t>August 10, 2026</w:t>
            </w:r>
          </w:p>
        </w:tc>
      </w:tr>
      <w:tr>
        <w:trPr>
          <w:trHeight w:val="120" w:hRule="atLeast"/>
        </w:trPr>
        <w:tc>
          <w:tcPr>
            <w:tcW w:w="3816" w:type="dxa"/>
            <w:tcBorders/>
            <w:vAlign w:val="center"/>
          </w:tcPr>
          <w:p>
            <w:pPr>
              <w:pStyle w:val="TableContents"/>
              <w:bidi w:val="0"/>
              <w:spacing w:before="0" w:after="283"/>
              <w:jc w:val="left"/>
              <w:rPr>
                <w:sz w:val="4"/>
                <w:szCs w:val="4"/>
              </w:rPr>
            </w:pPr>
            <w:r>
              <w:rPr>
                <w:sz w:val="4"/>
                <w:szCs w:val="4"/>
              </w:rPr>
            </w:r>
          </w:p>
        </w:tc>
        <w:tc>
          <w:tcPr>
            <w:tcW w:w="4531" w:type="dxa"/>
            <w:gridSpan w:val="2"/>
            <w:tcBorders/>
            <w:vAlign w:val="center"/>
          </w:tcPr>
          <w:p>
            <w:pPr>
              <w:pStyle w:val="TableContents"/>
              <w:bidi w:val="0"/>
              <w:spacing w:before="0" w:after="283"/>
              <w:jc w:val="left"/>
              <w:rPr>
                <w:sz w:val="4"/>
                <w:szCs w:val="4"/>
              </w:rPr>
            </w:pPr>
            <w:r>
              <w:rPr>
                <w:sz w:val="4"/>
                <w:szCs w:val="4"/>
              </w:rPr>
            </w:r>
          </w:p>
        </w:tc>
        <w:tc>
          <w:tcPr>
            <w:tcW w:w="1858" w:type="dxa"/>
            <w:gridSpan w:val="2"/>
            <w:tcBorders/>
            <w:vAlign w:val="center"/>
          </w:tcPr>
          <w:p>
            <w:pPr>
              <w:pStyle w:val="TableContents"/>
              <w:bidi w:val="0"/>
              <w:spacing w:before="0" w:after="283"/>
              <w:jc w:val="left"/>
              <w:rPr>
                <w:sz w:val="4"/>
                <w:szCs w:val="4"/>
              </w:rPr>
            </w:pPr>
            <w:r>
              <w:rPr>
                <w:sz w:val="4"/>
                <w:szCs w:val="4"/>
              </w:rPr>
            </w:r>
          </w:p>
        </w:tc>
      </w:tr>
      <w:tr>
        <w:trPr/>
        <w:tc>
          <w:tcPr>
            <w:tcW w:w="381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Brian Burkavage</w:t>
            </w:r>
          </w:p>
          <w:p>
            <w:pPr>
              <w:pStyle w:val="TableContents"/>
              <w:bidi w:val="0"/>
              <w:spacing w:before="0" w:after="20"/>
              <w:jc w:val="center"/>
              <w:rPr>
                <w:rFonts w:ascii="Times New Roman" w:hAnsi="Times New Roman"/>
                <w:sz w:val="20"/>
              </w:rPr>
            </w:pPr>
            <w:r>
              <w:rPr>
                <w:rFonts w:ascii="Times New Roman" w:hAnsi="Times New Roman"/>
                <w:sz w:val="20"/>
              </w:rPr>
              <w:t>Brian Burkavage</w:t>
            </w:r>
          </w:p>
        </w:tc>
        <w:tc>
          <w:tcPr>
            <w:tcW w:w="120" w:type="dxa"/>
            <w:tcBorders/>
            <w:vAlign w:val="bottom"/>
          </w:tcPr>
          <w:p>
            <w:pPr>
              <w:pStyle w:val="TableContents"/>
              <w:bidi w:val="0"/>
              <w:spacing w:before="0" w:after="283"/>
              <w:jc w:val="left"/>
              <w:rPr/>
            </w:pPr>
            <w:r>
              <w:rPr/>
              <w:t>  </w:t>
            </w:r>
          </w:p>
        </w:tc>
        <w:tc>
          <w:tcPr>
            <w:tcW w:w="4411" w:type="dxa"/>
            <w:tcBorders/>
          </w:tcPr>
          <w:p>
            <w:pPr>
              <w:pStyle w:val="TableContents"/>
              <w:bidi w:val="0"/>
              <w:spacing w:before="0" w:after="283"/>
              <w:jc w:val="center"/>
              <w:rPr/>
            </w:pPr>
            <w:r>
              <w:rPr/>
              <w:t>Senior Vice President, Finance (Principal Financial Officer and Principal Accounting Officer)</w:t>
            </w:r>
          </w:p>
        </w:tc>
        <w:tc>
          <w:tcPr>
            <w:tcW w:w="107" w:type="dxa"/>
            <w:tcBorders/>
            <w:vAlign w:val="bottom"/>
          </w:tcPr>
          <w:p>
            <w:pPr>
              <w:pStyle w:val="TableContents"/>
              <w:bidi w:val="0"/>
              <w:spacing w:before="0" w:after="283"/>
              <w:jc w:val="left"/>
              <w:rPr/>
            </w:pPr>
            <w:r>
              <w:rPr/>
              <w:t> </w:t>
            </w:r>
          </w:p>
        </w:tc>
        <w:tc>
          <w:tcPr>
            <w:tcW w:w="1751" w:type="dxa"/>
            <w:tcBorders/>
          </w:tcPr>
          <w:p>
            <w:pPr>
              <w:pStyle w:val="TableContents"/>
              <w:bidi w:val="0"/>
              <w:spacing w:before="0" w:after="283"/>
              <w:jc w:val="left"/>
              <w:rPr/>
            </w:pPr>
            <w:r>
              <w:rPr/>
              <w:t>August 10, 2026</w:t>
            </w:r>
          </w:p>
        </w:tc>
      </w:tr>
      <w:tr>
        <w:trPr>
          <w:trHeight w:val="120" w:hRule="atLeast"/>
        </w:trPr>
        <w:tc>
          <w:tcPr>
            <w:tcW w:w="3816" w:type="dxa"/>
            <w:tcBorders/>
            <w:vAlign w:val="center"/>
          </w:tcPr>
          <w:p>
            <w:pPr>
              <w:pStyle w:val="TableContents"/>
              <w:bidi w:val="0"/>
              <w:spacing w:before="0" w:after="283"/>
              <w:jc w:val="left"/>
              <w:rPr>
                <w:sz w:val="4"/>
                <w:szCs w:val="4"/>
              </w:rPr>
            </w:pPr>
            <w:r>
              <w:rPr>
                <w:sz w:val="4"/>
                <w:szCs w:val="4"/>
              </w:rPr>
            </w:r>
          </w:p>
        </w:tc>
        <w:tc>
          <w:tcPr>
            <w:tcW w:w="4531" w:type="dxa"/>
            <w:gridSpan w:val="2"/>
            <w:tcBorders/>
            <w:vAlign w:val="center"/>
          </w:tcPr>
          <w:p>
            <w:pPr>
              <w:pStyle w:val="TableContents"/>
              <w:bidi w:val="0"/>
              <w:spacing w:before="0" w:after="283"/>
              <w:jc w:val="left"/>
              <w:rPr>
                <w:sz w:val="4"/>
                <w:szCs w:val="4"/>
              </w:rPr>
            </w:pPr>
            <w:r>
              <w:rPr>
                <w:sz w:val="4"/>
                <w:szCs w:val="4"/>
              </w:rPr>
            </w:r>
          </w:p>
        </w:tc>
        <w:tc>
          <w:tcPr>
            <w:tcW w:w="1858" w:type="dxa"/>
            <w:gridSpan w:val="2"/>
            <w:tcBorders/>
            <w:vAlign w:val="center"/>
          </w:tcPr>
          <w:p>
            <w:pPr>
              <w:pStyle w:val="TableContents"/>
              <w:bidi w:val="0"/>
              <w:spacing w:before="0" w:after="283"/>
              <w:jc w:val="left"/>
              <w:rPr>
                <w:sz w:val="4"/>
                <w:szCs w:val="4"/>
              </w:rPr>
            </w:pPr>
            <w:r>
              <w:rPr>
                <w:sz w:val="4"/>
                <w:szCs w:val="4"/>
              </w:rPr>
            </w:r>
          </w:p>
        </w:tc>
      </w:tr>
      <w:tr>
        <w:trPr/>
        <w:tc>
          <w:tcPr>
            <w:tcW w:w="381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Peter Harwin</w:t>
            </w:r>
          </w:p>
          <w:p>
            <w:pPr>
              <w:pStyle w:val="TableContents"/>
              <w:bidi w:val="0"/>
              <w:spacing w:before="0" w:after="20"/>
              <w:jc w:val="center"/>
              <w:rPr>
                <w:rFonts w:ascii="Times New Roman" w:hAnsi="Times New Roman"/>
                <w:sz w:val="20"/>
              </w:rPr>
            </w:pPr>
            <w:r>
              <w:rPr>
                <w:rFonts w:ascii="Times New Roman" w:hAnsi="Times New Roman"/>
                <w:sz w:val="20"/>
              </w:rPr>
              <w:t>Peter Harwin</w:t>
            </w:r>
          </w:p>
        </w:tc>
        <w:tc>
          <w:tcPr>
            <w:tcW w:w="120" w:type="dxa"/>
            <w:tcBorders/>
            <w:vAlign w:val="bottom"/>
          </w:tcPr>
          <w:p>
            <w:pPr>
              <w:pStyle w:val="TableContents"/>
              <w:bidi w:val="0"/>
              <w:spacing w:before="0" w:after="283"/>
              <w:jc w:val="left"/>
              <w:rPr/>
            </w:pPr>
            <w:r>
              <w:rPr/>
              <w:t>  </w:t>
            </w:r>
          </w:p>
        </w:tc>
        <w:tc>
          <w:tcPr>
            <w:tcW w:w="4411" w:type="dxa"/>
            <w:tcBorders/>
          </w:tcPr>
          <w:p>
            <w:pPr>
              <w:pStyle w:val="TableContents"/>
              <w:bidi w:val="0"/>
              <w:spacing w:before="0" w:after="283"/>
              <w:jc w:val="center"/>
              <w:rPr/>
            </w:pPr>
            <w:r>
              <w:rPr/>
              <w:t>Chairman of the Board</w:t>
            </w:r>
          </w:p>
        </w:tc>
        <w:tc>
          <w:tcPr>
            <w:tcW w:w="107" w:type="dxa"/>
            <w:tcBorders/>
            <w:vAlign w:val="bottom"/>
          </w:tcPr>
          <w:p>
            <w:pPr>
              <w:pStyle w:val="TableContents"/>
              <w:bidi w:val="0"/>
              <w:spacing w:before="0" w:after="283"/>
              <w:jc w:val="left"/>
              <w:rPr/>
            </w:pPr>
            <w:r>
              <w:rPr/>
              <w:t> </w:t>
            </w:r>
          </w:p>
        </w:tc>
        <w:tc>
          <w:tcPr>
            <w:tcW w:w="1751" w:type="dxa"/>
            <w:tcBorders/>
          </w:tcPr>
          <w:p>
            <w:pPr>
              <w:pStyle w:val="TableContents"/>
              <w:bidi w:val="0"/>
              <w:spacing w:before="0" w:after="283"/>
              <w:jc w:val="left"/>
              <w:rPr/>
            </w:pPr>
            <w:r>
              <w:rPr/>
              <w:t>August 10, 2026</w:t>
            </w:r>
          </w:p>
        </w:tc>
      </w:tr>
      <w:tr>
        <w:trPr>
          <w:trHeight w:val="120" w:hRule="atLeast"/>
        </w:trPr>
        <w:tc>
          <w:tcPr>
            <w:tcW w:w="3816" w:type="dxa"/>
            <w:tcBorders/>
            <w:vAlign w:val="center"/>
          </w:tcPr>
          <w:p>
            <w:pPr>
              <w:pStyle w:val="TableContents"/>
              <w:bidi w:val="0"/>
              <w:spacing w:before="0" w:after="283"/>
              <w:jc w:val="left"/>
              <w:rPr>
                <w:sz w:val="4"/>
                <w:szCs w:val="4"/>
              </w:rPr>
            </w:pPr>
            <w:r>
              <w:rPr>
                <w:sz w:val="4"/>
                <w:szCs w:val="4"/>
              </w:rPr>
            </w:r>
          </w:p>
        </w:tc>
        <w:tc>
          <w:tcPr>
            <w:tcW w:w="4531" w:type="dxa"/>
            <w:gridSpan w:val="2"/>
            <w:tcBorders/>
            <w:vAlign w:val="center"/>
          </w:tcPr>
          <w:p>
            <w:pPr>
              <w:pStyle w:val="TableContents"/>
              <w:bidi w:val="0"/>
              <w:spacing w:before="0" w:after="283"/>
              <w:jc w:val="left"/>
              <w:rPr>
                <w:sz w:val="4"/>
                <w:szCs w:val="4"/>
              </w:rPr>
            </w:pPr>
            <w:r>
              <w:rPr>
                <w:sz w:val="4"/>
                <w:szCs w:val="4"/>
              </w:rPr>
            </w:r>
          </w:p>
        </w:tc>
        <w:tc>
          <w:tcPr>
            <w:tcW w:w="1858" w:type="dxa"/>
            <w:gridSpan w:val="2"/>
            <w:tcBorders/>
            <w:vAlign w:val="center"/>
          </w:tcPr>
          <w:p>
            <w:pPr>
              <w:pStyle w:val="TableContents"/>
              <w:bidi w:val="0"/>
              <w:spacing w:before="0" w:after="283"/>
              <w:jc w:val="left"/>
              <w:rPr>
                <w:sz w:val="4"/>
                <w:szCs w:val="4"/>
              </w:rPr>
            </w:pPr>
            <w:r>
              <w:rPr>
                <w:sz w:val="4"/>
                <w:szCs w:val="4"/>
              </w:rPr>
            </w:r>
          </w:p>
        </w:tc>
      </w:tr>
      <w:tr>
        <w:trPr/>
        <w:tc>
          <w:tcPr>
            <w:tcW w:w="381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Julianne Bruno</w:t>
            </w:r>
          </w:p>
          <w:p>
            <w:pPr>
              <w:pStyle w:val="TableContents"/>
              <w:bidi w:val="0"/>
              <w:spacing w:before="0" w:after="20"/>
              <w:jc w:val="center"/>
              <w:rPr>
                <w:rFonts w:ascii="Times New Roman" w:hAnsi="Times New Roman"/>
                <w:sz w:val="20"/>
              </w:rPr>
            </w:pPr>
            <w:r>
              <w:rPr>
                <w:rFonts w:ascii="Times New Roman" w:hAnsi="Times New Roman"/>
                <w:sz w:val="20"/>
              </w:rPr>
              <w:t>Julianne Bruno</w:t>
            </w:r>
          </w:p>
        </w:tc>
        <w:tc>
          <w:tcPr>
            <w:tcW w:w="120" w:type="dxa"/>
            <w:tcBorders/>
            <w:vAlign w:val="bottom"/>
          </w:tcPr>
          <w:p>
            <w:pPr>
              <w:pStyle w:val="TableContents"/>
              <w:bidi w:val="0"/>
              <w:spacing w:before="0" w:after="283"/>
              <w:jc w:val="left"/>
              <w:rPr/>
            </w:pPr>
            <w:r>
              <w:rPr/>
              <w:t>  </w:t>
            </w:r>
          </w:p>
        </w:tc>
        <w:tc>
          <w:tcPr>
            <w:tcW w:w="4411" w:type="dxa"/>
            <w:tcBorders/>
          </w:tcPr>
          <w:p>
            <w:pPr>
              <w:pStyle w:val="TableContents"/>
              <w:bidi w:val="0"/>
              <w:spacing w:before="0" w:after="283"/>
              <w:jc w:val="center"/>
              <w:rPr/>
            </w:pPr>
            <w:r>
              <w:rPr/>
              <w:t>Director</w:t>
            </w:r>
          </w:p>
        </w:tc>
        <w:tc>
          <w:tcPr>
            <w:tcW w:w="107" w:type="dxa"/>
            <w:tcBorders/>
            <w:vAlign w:val="bottom"/>
          </w:tcPr>
          <w:p>
            <w:pPr>
              <w:pStyle w:val="TableContents"/>
              <w:bidi w:val="0"/>
              <w:spacing w:before="0" w:after="283"/>
              <w:jc w:val="left"/>
              <w:rPr/>
            </w:pPr>
            <w:r>
              <w:rPr/>
              <w:t> </w:t>
            </w:r>
          </w:p>
        </w:tc>
        <w:tc>
          <w:tcPr>
            <w:tcW w:w="1751" w:type="dxa"/>
            <w:tcBorders/>
          </w:tcPr>
          <w:p>
            <w:pPr>
              <w:pStyle w:val="TableContents"/>
              <w:bidi w:val="0"/>
              <w:spacing w:before="0" w:after="283"/>
              <w:jc w:val="left"/>
              <w:rPr/>
            </w:pPr>
            <w:r>
              <w:rPr/>
              <w:t>August 10, 2026</w:t>
            </w:r>
          </w:p>
        </w:tc>
      </w:tr>
      <w:tr>
        <w:trPr>
          <w:trHeight w:val="120" w:hRule="atLeast"/>
        </w:trPr>
        <w:tc>
          <w:tcPr>
            <w:tcW w:w="3816" w:type="dxa"/>
            <w:tcBorders/>
            <w:vAlign w:val="center"/>
          </w:tcPr>
          <w:p>
            <w:pPr>
              <w:pStyle w:val="TableContents"/>
              <w:bidi w:val="0"/>
              <w:spacing w:before="0" w:after="283"/>
              <w:jc w:val="left"/>
              <w:rPr>
                <w:sz w:val="4"/>
                <w:szCs w:val="4"/>
              </w:rPr>
            </w:pPr>
            <w:r>
              <w:rPr>
                <w:sz w:val="4"/>
                <w:szCs w:val="4"/>
              </w:rPr>
            </w:r>
          </w:p>
        </w:tc>
        <w:tc>
          <w:tcPr>
            <w:tcW w:w="4531" w:type="dxa"/>
            <w:gridSpan w:val="2"/>
            <w:tcBorders/>
            <w:vAlign w:val="center"/>
          </w:tcPr>
          <w:p>
            <w:pPr>
              <w:pStyle w:val="TableContents"/>
              <w:bidi w:val="0"/>
              <w:spacing w:before="0" w:after="283"/>
              <w:jc w:val="left"/>
              <w:rPr>
                <w:sz w:val="4"/>
                <w:szCs w:val="4"/>
              </w:rPr>
            </w:pPr>
            <w:r>
              <w:rPr>
                <w:sz w:val="4"/>
                <w:szCs w:val="4"/>
              </w:rPr>
            </w:r>
          </w:p>
        </w:tc>
        <w:tc>
          <w:tcPr>
            <w:tcW w:w="1858" w:type="dxa"/>
            <w:gridSpan w:val="2"/>
            <w:tcBorders/>
            <w:vAlign w:val="center"/>
          </w:tcPr>
          <w:p>
            <w:pPr>
              <w:pStyle w:val="TableContents"/>
              <w:bidi w:val="0"/>
              <w:spacing w:before="0" w:after="283"/>
              <w:jc w:val="left"/>
              <w:rPr>
                <w:sz w:val="4"/>
                <w:szCs w:val="4"/>
              </w:rPr>
            </w:pPr>
            <w:r>
              <w:rPr>
                <w:sz w:val="4"/>
                <w:szCs w:val="4"/>
              </w:rPr>
            </w:r>
          </w:p>
        </w:tc>
      </w:tr>
      <w:tr>
        <w:trPr/>
        <w:tc>
          <w:tcPr>
            <w:tcW w:w="381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Christopher Cain, Ph.D.</w:t>
            </w:r>
          </w:p>
          <w:p>
            <w:pPr>
              <w:pStyle w:val="TableContents"/>
              <w:bidi w:val="0"/>
              <w:spacing w:before="0" w:after="20"/>
              <w:jc w:val="center"/>
              <w:rPr>
                <w:rFonts w:ascii="Times New Roman" w:hAnsi="Times New Roman"/>
                <w:sz w:val="20"/>
              </w:rPr>
            </w:pPr>
            <w:r>
              <w:rPr>
                <w:rFonts w:ascii="Times New Roman" w:hAnsi="Times New Roman"/>
                <w:sz w:val="20"/>
              </w:rPr>
              <w:t>Christopher Cain, Ph.D.</w:t>
            </w:r>
          </w:p>
        </w:tc>
        <w:tc>
          <w:tcPr>
            <w:tcW w:w="120" w:type="dxa"/>
            <w:tcBorders/>
            <w:vAlign w:val="bottom"/>
          </w:tcPr>
          <w:p>
            <w:pPr>
              <w:pStyle w:val="TableContents"/>
              <w:bidi w:val="0"/>
              <w:spacing w:before="0" w:after="283"/>
              <w:jc w:val="left"/>
              <w:rPr/>
            </w:pPr>
            <w:r>
              <w:rPr/>
              <w:t>  </w:t>
            </w:r>
          </w:p>
        </w:tc>
        <w:tc>
          <w:tcPr>
            <w:tcW w:w="4411" w:type="dxa"/>
            <w:tcBorders/>
          </w:tcPr>
          <w:p>
            <w:pPr>
              <w:pStyle w:val="TableContents"/>
              <w:bidi w:val="0"/>
              <w:spacing w:before="0" w:after="283"/>
              <w:jc w:val="center"/>
              <w:rPr/>
            </w:pPr>
            <w:r>
              <w:rPr/>
              <w:t>Director</w:t>
            </w:r>
          </w:p>
        </w:tc>
        <w:tc>
          <w:tcPr>
            <w:tcW w:w="107" w:type="dxa"/>
            <w:tcBorders/>
            <w:vAlign w:val="bottom"/>
          </w:tcPr>
          <w:p>
            <w:pPr>
              <w:pStyle w:val="TableContents"/>
              <w:bidi w:val="0"/>
              <w:spacing w:before="0" w:after="283"/>
              <w:jc w:val="left"/>
              <w:rPr/>
            </w:pPr>
            <w:r>
              <w:rPr/>
              <w:t> </w:t>
            </w:r>
          </w:p>
        </w:tc>
        <w:tc>
          <w:tcPr>
            <w:tcW w:w="1751" w:type="dxa"/>
            <w:tcBorders/>
          </w:tcPr>
          <w:p>
            <w:pPr>
              <w:pStyle w:val="TableContents"/>
              <w:bidi w:val="0"/>
              <w:spacing w:before="0" w:after="283"/>
              <w:jc w:val="left"/>
              <w:rPr/>
            </w:pPr>
            <w:r>
              <w:rPr/>
              <w:t>August 10, 2026</w:t>
            </w:r>
          </w:p>
        </w:tc>
      </w:tr>
      <w:tr>
        <w:trPr>
          <w:trHeight w:val="120" w:hRule="atLeast"/>
        </w:trPr>
        <w:tc>
          <w:tcPr>
            <w:tcW w:w="3816" w:type="dxa"/>
            <w:tcBorders/>
            <w:vAlign w:val="center"/>
          </w:tcPr>
          <w:p>
            <w:pPr>
              <w:pStyle w:val="TableContents"/>
              <w:bidi w:val="0"/>
              <w:spacing w:before="0" w:after="283"/>
              <w:jc w:val="left"/>
              <w:rPr>
                <w:sz w:val="4"/>
                <w:szCs w:val="4"/>
              </w:rPr>
            </w:pPr>
            <w:r>
              <w:rPr>
                <w:sz w:val="4"/>
                <w:szCs w:val="4"/>
              </w:rPr>
            </w:r>
          </w:p>
        </w:tc>
        <w:tc>
          <w:tcPr>
            <w:tcW w:w="4531" w:type="dxa"/>
            <w:gridSpan w:val="2"/>
            <w:tcBorders/>
            <w:vAlign w:val="center"/>
          </w:tcPr>
          <w:p>
            <w:pPr>
              <w:pStyle w:val="TableContents"/>
              <w:bidi w:val="0"/>
              <w:spacing w:before="0" w:after="283"/>
              <w:jc w:val="left"/>
              <w:rPr>
                <w:sz w:val="4"/>
                <w:szCs w:val="4"/>
              </w:rPr>
            </w:pPr>
            <w:r>
              <w:rPr>
                <w:sz w:val="4"/>
                <w:szCs w:val="4"/>
              </w:rPr>
            </w:r>
          </w:p>
        </w:tc>
        <w:tc>
          <w:tcPr>
            <w:tcW w:w="1858" w:type="dxa"/>
            <w:gridSpan w:val="2"/>
            <w:tcBorders/>
            <w:vAlign w:val="center"/>
          </w:tcPr>
          <w:p>
            <w:pPr>
              <w:pStyle w:val="TableContents"/>
              <w:bidi w:val="0"/>
              <w:spacing w:before="0" w:after="283"/>
              <w:jc w:val="left"/>
              <w:rPr>
                <w:sz w:val="4"/>
                <w:szCs w:val="4"/>
              </w:rPr>
            </w:pPr>
            <w:r>
              <w:rPr>
                <w:sz w:val="4"/>
                <w:szCs w:val="4"/>
              </w:rPr>
            </w:r>
          </w:p>
        </w:tc>
      </w:tr>
      <w:tr>
        <w:trPr/>
        <w:tc>
          <w:tcPr>
            <w:tcW w:w="381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Michael Landsittel</w:t>
            </w:r>
          </w:p>
          <w:p>
            <w:pPr>
              <w:pStyle w:val="TableContents"/>
              <w:bidi w:val="0"/>
              <w:spacing w:before="0" w:after="20"/>
              <w:jc w:val="center"/>
              <w:rPr>
                <w:rFonts w:ascii="Times New Roman" w:hAnsi="Times New Roman"/>
                <w:sz w:val="20"/>
              </w:rPr>
            </w:pPr>
            <w:r>
              <w:rPr>
                <w:rFonts w:ascii="Times New Roman" w:hAnsi="Times New Roman"/>
                <w:sz w:val="20"/>
              </w:rPr>
              <w:t>Michael Landsittel</w:t>
            </w:r>
          </w:p>
        </w:tc>
        <w:tc>
          <w:tcPr>
            <w:tcW w:w="120" w:type="dxa"/>
            <w:tcBorders/>
            <w:vAlign w:val="bottom"/>
          </w:tcPr>
          <w:p>
            <w:pPr>
              <w:pStyle w:val="TableContents"/>
              <w:bidi w:val="0"/>
              <w:spacing w:before="0" w:after="283"/>
              <w:jc w:val="left"/>
              <w:rPr/>
            </w:pPr>
            <w:r>
              <w:rPr/>
              <w:t>  </w:t>
            </w:r>
          </w:p>
        </w:tc>
        <w:tc>
          <w:tcPr>
            <w:tcW w:w="4411" w:type="dxa"/>
            <w:tcBorders/>
          </w:tcPr>
          <w:p>
            <w:pPr>
              <w:pStyle w:val="TableContents"/>
              <w:bidi w:val="0"/>
              <w:spacing w:before="0" w:after="283"/>
              <w:jc w:val="center"/>
              <w:rPr/>
            </w:pPr>
            <w:r>
              <w:rPr/>
              <w:t>Director</w:t>
            </w:r>
          </w:p>
        </w:tc>
        <w:tc>
          <w:tcPr>
            <w:tcW w:w="107" w:type="dxa"/>
            <w:tcBorders/>
            <w:vAlign w:val="bottom"/>
          </w:tcPr>
          <w:p>
            <w:pPr>
              <w:pStyle w:val="TableContents"/>
              <w:bidi w:val="0"/>
              <w:spacing w:before="0" w:after="283"/>
              <w:jc w:val="left"/>
              <w:rPr/>
            </w:pPr>
            <w:r>
              <w:rPr/>
              <w:t> </w:t>
            </w:r>
          </w:p>
        </w:tc>
        <w:tc>
          <w:tcPr>
            <w:tcW w:w="1751" w:type="dxa"/>
            <w:tcBorders/>
          </w:tcPr>
          <w:p>
            <w:pPr>
              <w:pStyle w:val="TableContents"/>
              <w:bidi w:val="0"/>
              <w:spacing w:before="0" w:after="283"/>
              <w:jc w:val="left"/>
              <w:rPr/>
            </w:pPr>
            <w:r>
              <w:rPr/>
              <w:t>August 10, 2026</w:t>
            </w:r>
          </w:p>
        </w:tc>
      </w:tr>
      <w:tr>
        <w:trPr>
          <w:trHeight w:val="120" w:hRule="atLeast"/>
        </w:trPr>
        <w:tc>
          <w:tcPr>
            <w:tcW w:w="3816" w:type="dxa"/>
            <w:tcBorders/>
            <w:vAlign w:val="center"/>
          </w:tcPr>
          <w:p>
            <w:pPr>
              <w:pStyle w:val="TableContents"/>
              <w:bidi w:val="0"/>
              <w:spacing w:before="0" w:after="283"/>
              <w:jc w:val="left"/>
              <w:rPr>
                <w:sz w:val="4"/>
                <w:szCs w:val="4"/>
              </w:rPr>
            </w:pPr>
            <w:r>
              <w:rPr>
                <w:sz w:val="4"/>
                <w:szCs w:val="4"/>
              </w:rPr>
            </w:r>
          </w:p>
        </w:tc>
        <w:tc>
          <w:tcPr>
            <w:tcW w:w="4531" w:type="dxa"/>
            <w:gridSpan w:val="2"/>
            <w:tcBorders/>
            <w:vAlign w:val="center"/>
          </w:tcPr>
          <w:p>
            <w:pPr>
              <w:pStyle w:val="TableContents"/>
              <w:bidi w:val="0"/>
              <w:spacing w:before="0" w:after="283"/>
              <w:jc w:val="left"/>
              <w:rPr>
                <w:sz w:val="4"/>
                <w:szCs w:val="4"/>
              </w:rPr>
            </w:pPr>
            <w:r>
              <w:rPr>
                <w:sz w:val="4"/>
                <w:szCs w:val="4"/>
              </w:rPr>
            </w:r>
          </w:p>
        </w:tc>
        <w:tc>
          <w:tcPr>
            <w:tcW w:w="1858" w:type="dxa"/>
            <w:gridSpan w:val="2"/>
            <w:tcBorders/>
            <w:vAlign w:val="center"/>
          </w:tcPr>
          <w:p>
            <w:pPr>
              <w:pStyle w:val="TableContents"/>
              <w:bidi w:val="0"/>
              <w:spacing w:before="0" w:after="283"/>
              <w:jc w:val="left"/>
              <w:rPr>
                <w:sz w:val="4"/>
                <w:szCs w:val="4"/>
              </w:rPr>
            </w:pPr>
            <w:r>
              <w:rPr>
                <w:sz w:val="4"/>
                <w:szCs w:val="4"/>
              </w:rPr>
            </w:r>
          </w:p>
        </w:tc>
      </w:tr>
      <w:tr>
        <w:trPr/>
        <w:tc>
          <w:tcPr>
            <w:tcW w:w="381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Cameron Turtle, D.Phil.</w:t>
            </w:r>
          </w:p>
          <w:p>
            <w:pPr>
              <w:pStyle w:val="TableContents"/>
              <w:bidi w:val="0"/>
              <w:spacing w:before="0" w:after="20"/>
              <w:jc w:val="center"/>
              <w:rPr>
                <w:rFonts w:ascii="Times New Roman" w:hAnsi="Times New Roman"/>
                <w:sz w:val="20"/>
              </w:rPr>
            </w:pPr>
            <w:r>
              <w:rPr>
                <w:rFonts w:ascii="Times New Roman" w:hAnsi="Times New Roman"/>
                <w:sz w:val="20"/>
              </w:rPr>
              <w:t>Cameron Turtle, D.Phil.</w:t>
            </w:r>
          </w:p>
        </w:tc>
        <w:tc>
          <w:tcPr>
            <w:tcW w:w="120" w:type="dxa"/>
            <w:tcBorders/>
            <w:vAlign w:val="bottom"/>
          </w:tcPr>
          <w:p>
            <w:pPr>
              <w:pStyle w:val="TableContents"/>
              <w:bidi w:val="0"/>
              <w:spacing w:before="0" w:after="283"/>
              <w:jc w:val="left"/>
              <w:rPr/>
            </w:pPr>
            <w:r>
              <w:rPr/>
              <w:t>  </w:t>
            </w:r>
          </w:p>
        </w:tc>
        <w:tc>
          <w:tcPr>
            <w:tcW w:w="4411" w:type="dxa"/>
            <w:tcBorders/>
          </w:tcPr>
          <w:p>
            <w:pPr>
              <w:pStyle w:val="TableContents"/>
              <w:bidi w:val="0"/>
              <w:spacing w:before="0" w:after="283"/>
              <w:jc w:val="center"/>
              <w:rPr/>
            </w:pPr>
            <w:r>
              <w:rPr/>
              <w:t>Director</w:t>
            </w:r>
          </w:p>
        </w:tc>
        <w:tc>
          <w:tcPr>
            <w:tcW w:w="107" w:type="dxa"/>
            <w:tcBorders/>
            <w:vAlign w:val="bottom"/>
          </w:tcPr>
          <w:p>
            <w:pPr>
              <w:pStyle w:val="TableContents"/>
              <w:bidi w:val="0"/>
              <w:spacing w:before="0" w:after="283"/>
              <w:jc w:val="left"/>
              <w:rPr/>
            </w:pPr>
            <w:r>
              <w:rPr/>
              <w:t> </w:t>
            </w:r>
          </w:p>
        </w:tc>
        <w:tc>
          <w:tcPr>
            <w:tcW w:w="1751" w:type="dxa"/>
            <w:tcBorders/>
          </w:tcPr>
          <w:p>
            <w:pPr>
              <w:pStyle w:val="TableContents"/>
              <w:bidi w:val="0"/>
              <w:spacing w:before="0" w:after="283"/>
              <w:jc w:val="left"/>
              <w:rPr/>
            </w:pPr>
            <w:r>
              <w:rPr/>
              <w:t>August 10, 2026</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AUTHORIZED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Section 6(a) of the Securities Act of 1933, the undersigned has signed this registration statement, solely in its capacity as the duly authorized representative of Damora Therapeutics, Inc., in Waltham, Massachusetts, on August 10,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5"/>
        <w:gridCol w:w="60"/>
        <w:gridCol w:w="3647"/>
      </w:tblGrid>
      <w:tr>
        <w:trPr/>
        <w:tc>
          <w:tcPr>
            <w:tcW w:w="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Damora Therapeutics, Inc.</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Brian Burkavage</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pPr>
            <w:r>
              <w:rPr/>
              <w:t>Brian Burkavage</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pPr>
            <w:r>
              <w:rPr/>
              <w:t>Senior Vice President, Finance</w:t>
            </w:r>
          </w:p>
        </w:tc>
      </w:tr>
    </w:tbl>
    <w:p>
      <w:pPr>
        <w:pStyle w:val="TextBody"/>
        <w:bidi w:val="0"/>
        <w:spacing w:before="0" w:after="0"/>
        <w:jc w:val="right"/>
        <w:rPr>
          <w:rFonts w:ascii="Times New Roman" w:hAnsi="Times New Roman"/>
          <w:b/>
          <w:sz w:val="20"/>
        </w:rPr>
      </w:pPr>
      <w:bookmarkStart w:id="3" w:name="d135820dex42.htm"/>
      <w:bookmarkStart w:id="4" w:name="ksd135820dex42"/>
      <w:bookmarkEnd w:id="3"/>
      <w:bookmarkEnd w:id="4"/>
      <w:r>
        <w:rPr>
          <w:rFonts w:ascii="Times New Roman" w:hAnsi="Times New Roman"/>
          <w:b/>
          <w:sz w:val="20"/>
        </w:rPr>
        <w:t xml:space="preserve">Exhibit 4.2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DAMORA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2026 EQUITY INCENTIVE PLAN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Purpose </w:t>
            </w:r>
          </w:p>
        </w:tc>
      </w:tr>
    </w:tbl>
    <w:p>
      <w:pPr>
        <w:pStyle w:val="TextBody"/>
        <w:bidi w:val="0"/>
        <w:spacing w:before="240" w:after="0"/>
        <w:jc w:val="left"/>
        <w:rPr>
          <w:rFonts w:ascii="Times New Roman" w:hAnsi="Times New Roman"/>
          <w:sz w:val="20"/>
        </w:rPr>
      </w:pPr>
      <w:r>
        <w:rPr>
          <w:rFonts w:ascii="Times New Roman" w:hAnsi="Times New Roman"/>
          <w:sz w:val="20"/>
        </w:rPr>
        <w:t>The purpose of this Damora Therapeutics, Inc. 2026 Equity Incentive Plan (the “</w:t>
      </w:r>
      <w:r>
        <w:rPr>
          <w:rFonts w:ascii="Times New Roman" w:hAnsi="Times New Roman"/>
          <w:b/>
          <w:i/>
          <w:sz w:val="20"/>
        </w:rPr>
        <w:t>Plan</w:t>
      </w:r>
      <w:r>
        <w:rPr>
          <w:rFonts w:ascii="Times New Roman" w:hAnsi="Times New Roman"/>
          <w:sz w:val="20"/>
        </w:rPr>
        <w:t xml:space="preserve">”) is to promote and closely align the interests of employees, officers, non-employee directors and other individual service providers of Damora Therapeutics, Inc. and its shareholders by providing share-based compensation and other performance-based compensation. The objectives of the Plan are to attract and retain the best available employees, officers, non-employee directors and other individual service providers for positions of substantial responsibility and to motivate Participants to optimize the profitability and growth of the Company through incentives that are consistent with the Company’s goals and that link the personal interests of Participants to those of the Company’s shareholders. The Plan provides for the grant of Options, Stock Appreciation Rights, Restricted Stock, Restricted Stock Units and Other Stock-Based Awards and for Incentive Bonuses, which may be paid in cash, Ordinary Shares or a combination thereof, as determined by the Committee.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Definitions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used in the Plan, the following terms shall have the meanings set forth below: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i/>
          <w:sz w:val="20"/>
        </w:rPr>
        <w:t>Act</w:t>
      </w:r>
      <w:r>
        <w:rPr>
          <w:rFonts w:ascii="Times New Roman" w:hAnsi="Times New Roman"/>
          <w:sz w:val="20"/>
        </w:rPr>
        <w:t xml:space="preserve">” means the Securities Exchange Act of 1934, as amended.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b/>
          <w:i/>
          <w:sz w:val="20"/>
        </w:rPr>
        <w:t>Affiliate</w:t>
      </w:r>
      <w:r>
        <w:rPr>
          <w:rFonts w:ascii="Times New Roman" w:hAnsi="Times New Roman"/>
          <w:sz w:val="20"/>
        </w:rPr>
        <w:t xml:space="preserve">” means any entity in which the Company has a substantial direct or indirect equity interest, as determined by the Committee from time to time.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b/>
          <w:i/>
          <w:sz w:val="20"/>
        </w:rPr>
        <w:t>Award</w:t>
      </w:r>
      <w:r>
        <w:rPr>
          <w:rFonts w:ascii="Times New Roman" w:hAnsi="Times New Roman"/>
          <w:sz w:val="20"/>
        </w:rPr>
        <w:t xml:space="preserve">” means an Option, Stock Appreciation Right, Restricted Stock, Restricted Stock Unit, Other Stock-Based Award or Incentive Bonus, or any combination of these, granted to a Participant pursuant to the provisions of the Plan, any of which may be subject to performance conditions.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b/>
          <w:i/>
          <w:sz w:val="20"/>
        </w:rPr>
        <w:t>Award Agreement</w:t>
      </w:r>
      <w:r>
        <w:rPr>
          <w:rFonts w:ascii="Times New Roman" w:hAnsi="Times New Roman"/>
          <w:sz w:val="20"/>
        </w:rPr>
        <w:t xml:space="preserve">” means a written or electronic agreement or other instrument as may be approved from time to time by the Committee and designated as such implementing the grant of each Award. An Award Agreement may be in the form of an agreement to be executed by both the Participant and the Company (or an authorized representative of the Company) or certificates, notices or similar instruments as approved by the Committee and designated as such. </w:t>
      </w:r>
    </w:p>
    <w:p>
      <w:pPr>
        <w:pStyle w:val="TextBody"/>
        <w:bidi w:val="0"/>
        <w:spacing w:before="120" w:after="0"/>
        <w:jc w:val="left"/>
        <w:rPr>
          <w:rFonts w:ascii="Times New Roman" w:hAnsi="Times New Roman"/>
          <w:sz w:val="20"/>
        </w:rPr>
      </w:pPr>
      <w:r>
        <w:rPr>
          <w:rFonts w:ascii="Times New Roman" w:hAnsi="Times New Roman"/>
          <w:sz w:val="20"/>
        </w:rPr>
        <w:t>(e) “</w:t>
      </w:r>
      <w:r>
        <w:rPr>
          <w:rFonts w:ascii="Times New Roman" w:hAnsi="Times New Roman"/>
          <w:b/>
          <w:i/>
          <w:sz w:val="20"/>
        </w:rPr>
        <w:t>Beneficial Owner</w:t>
      </w:r>
      <w:r>
        <w:rPr>
          <w:rFonts w:ascii="Times New Roman" w:hAnsi="Times New Roman"/>
          <w:sz w:val="20"/>
        </w:rPr>
        <w:t xml:space="preserve">” shall have the meaning set forth in Rule 13d-3 under the Act. </w:t>
      </w:r>
    </w:p>
    <w:p>
      <w:pPr>
        <w:pStyle w:val="TextBody"/>
        <w:bidi w:val="0"/>
        <w:spacing w:before="120" w:after="0"/>
        <w:jc w:val="left"/>
        <w:rPr>
          <w:rFonts w:ascii="Times New Roman" w:hAnsi="Times New Roman"/>
          <w:sz w:val="20"/>
        </w:rPr>
      </w:pPr>
      <w:r>
        <w:rPr>
          <w:rFonts w:ascii="Times New Roman" w:hAnsi="Times New Roman"/>
          <w:sz w:val="20"/>
        </w:rPr>
        <w:t>(f) “</w:t>
      </w:r>
      <w:r>
        <w:rPr>
          <w:rFonts w:ascii="Times New Roman" w:hAnsi="Times New Roman"/>
          <w:b/>
          <w:i/>
          <w:sz w:val="20"/>
        </w:rPr>
        <w:t>Board</w:t>
      </w:r>
      <w:r>
        <w:rPr>
          <w:rFonts w:ascii="Times New Roman" w:hAnsi="Times New Roman"/>
          <w:sz w:val="20"/>
        </w:rPr>
        <w:t xml:space="preserve">” means the Board of Directors of the Company. </w:t>
      </w:r>
    </w:p>
    <w:p>
      <w:pPr>
        <w:pStyle w:val="TextBody"/>
        <w:bidi w:val="0"/>
        <w:spacing w:before="120" w:after="0"/>
        <w:jc w:val="left"/>
        <w:rPr>
          <w:rFonts w:ascii="Times New Roman" w:hAnsi="Times New Roman"/>
          <w:sz w:val="20"/>
        </w:rPr>
      </w:pPr>
      <w:r>
        <w:rPr>
          <w:rFonts w:ascii="Times New Roman" w:hAnsi="Times New Roman"/>
          <w:sz w:val="20"/>
        </w:rPr>
        <w:t>(g) “</w:t>
      </w:r>
      <w:r>
        <w:rPr>
          <w:rFonts w:ascii="Times New Roman" w:hAnsi="Times New Roman"/>
          <w:b/>
          <w:i/>
          <w:sz w:val="20"/>
        </w:rPr>
        <w:t>Cause</w:t>
      </w:r>
      <w:r>
        <w:rPr>
          <w:rFonts w:ascii="Times New Roman" w:hAnsi="Times New Roman"/>
          <w:sz w:val="20"/>
        </w:rPr>
        <w:t xml:space="preserve">” has the meaning set forth in the written employment, offer, services or severance agreement or letter between the Participant and the Company or an Affiliate, or in any severance plan in which the Participant participates, or if there is no such agreement or plan or no such term is defined in such agreement or plan, means a Participant’s (i) dishonest statements or acts with respect to the Company or any Affiliate, or any current or prospective customers, suppliers, vendors or other third parties with which such entity does business that results in or is reasonably anticipated to result in material harm to the Company; (ii) conviction or plea of guilty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no contest to: (A) a felony (as such term is construed in accordance with U.S. law) or (B) any misdemeanor involving moral turpitude, deceit, dishonesty or fraud; (iii) failure to perform in all material respects the Participant’s assigned duties and responsibilities; (iv) gross negligence (as such term is construed in accordance with U.S. law), willful misconduct that results in or is reasonably anticipated to result in material harm to the Company; (v) violation of any material provision of any agreement(s) between the Participant and the Company; or (vi) material violation of any written Company policies. </w:t>
      </w:r>
    </w:p>
    <w:p>
      <w:pPr>
        <w:pStyle w:val="TextBody"/>
        <w:bidi w:val="0"/>
        <w:spacing w:before="120" w:after="0"/>
        <w:jc w:val="left"/>
        <w:rPr>
          <w:rFonts w:ascii="Times New Roman" w:hAnsi="Times New Roman"/>
          <w:sz w:val="20"/>
        </w:rPr>
      </w:pPr>
      <w:r>
        <w:rPr>
          <w:rFonts w:ascii="Times New Roman" w:hAnsi="Times New Roman"/>
          <w:sz w:val="20"/>
        </w:rPr>
        <w:t>(h) “</w:t>
      </w:r>
      <w:r>
        <w:rPr>
          <w:rFonts w:ascii="Times New Roman" w:hAnsi="Times New Roman"/>
          <w:b/>
          <w:i/>
          <w:sz w:val="20"/>
        </w:rPr>
        <w:t>Change in Control</w:t>
      </w:r>
      <w:r>
        <w:rPr>
          <w:rFonts w:ascii="Times New Roman" w:hAnsi="Times New Roman"/>
          <w:sz w:val="20"/>
        </w:rPr>
        <w:t xml:space="preserve">” means, except as otherwise provided in an Award Agreement, the occurrence of any one of the following events following the Effective Date (and for the avoidance of doubt shall exclude the transactions contemplated by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(i) any Person is or becomes the Beneficial Owner, directly or indirectly, of securities of the Company (not including the securities beneficially owned by such Person or any securities acquired directly from the Company or its Affiliates) representing 50% or more of the combined voting power of the Company’s then outstanding securities, excluding any Person who becomes such a Beneficial Owner in connection with a transaction described in </w:t>
      </w:r>
      <w:r>
        <w:rPr>
          <w:rFonts w:ascii="Times New Roman" w:hAnsi="Times New Roman"/>
          <w:sz w:val="20"/>
          <w:u w:val="single"/>
        </w:rPr>
        <w:t>Section 2(h)(iii)(A)</w:t>
      </w:r>
      <w:r>
        <w:rPr>
          <w:rFonts w:ascii="Times New Roman" w:hAnsi="Times New Roman"/>
          <w:sz w:val="20"/>
        </w:rPr>
        <w:t xml:space="preserve"> below; </w:t>
      </w:r>
    </w:p>
    <w:p>
      <w:pPr>
        <w:pStyle w:val="TextBody"/>
        <w:bidi w:val="0"/>
        <w:spacing w:before="120" w:after="0"/>
        <w:jc w:val="left"/>
        <w:rPr>
          <w:rFonts w:ascii="Times New Roman" w:hAnsi="Times New Roman"/>
          <w:sz w:val="20"/>
        </w:rPr>
      </w:pPr>
      <w:r>
        <w:rPr>
          <w:rFonts w:ascii="Times New Roman" w:hAnsi="Times New Roman"/>
          <w:sz w:val="20"/>
        </w:rPr>
        <w:t xml:space="preserve">(ii) the following individuals cease for any reason to constitute a majority of the number of directors then serving: (A) individuals who, on the Effective Date (as defined below), constitute the Board and (B) any new director (other than a director whose initial assumption of office is in connection with an actual or threatened election contest, including a consent solicitation, relating to the election of directors of the Company) whose appointment or election by the Board or nomination for election by the Company’s shareholders was approved or recommended by a vote of at least a majority of the directors then still in office who were either directors on the Effective Date or whose appointment, election or nomination for election was previously so approved or recommended; </w:t>
      </w:r>
    </w:p>
    <w:p>
      <w:pPr>
        <w:pStyle w:val="TextBody"/>
        <w:bidi w:val="0"/>
        <w:spacing w:before="120" w:after="0"/>
        <w:jc w:val="left"/>
        <w:rPr>
          <w:rFonts w:ascii="Times New Roman" w:hAnsi="Times New Roman"/>
          <w:sz w:val="20"/>
        </w:rPr>
      </w:pPr>
      <w:r>
        <w:rPr>
          <w:rFonts w:ascii="Times New Roman" w:hAnsi="Times New Roman"/>
          <w:sz w:val="20"/>
        </w:rPr>
        <w:t xml:space="preserve">(iii) there is consummated a merger or consolidation of the Company or any direct or indirect subsidiary of the Company with any other entity, other than (A) a merger or consolidation which would result in the holders of the voting securities of the Company outstanding immediately prior to such merger or consolidation continuing to represent (either by remaining outstanding or by being converted into voting securities of the surviving entity or any parent thereof) at least 50% of the combined voting power of the securities of the Company or such surviving entity or any parent thereof outstanding immediately after such merger or consolidation; </w:t>
      </w:r>
    </w:p>
    <w:p>
      <w:pPr>
        <w:pStyle w:val="TextBody"/>
        <w:bidi w:val="0"/>
        <w:spacing w:before="120" w:after="0"/>
        <w:jc w:val="left"/>
        <w:rPr>
          <w:rFonts w:ascii="Times New Roman" w:hAnsi="Times New Roman"/>
          <w:sz w:val="20"/>
        </w:rPr>
      </w:pPr>
      <w:r>
        <w:rPr>
          <w:rFonts w:ascii="Times New Roman" w:hAnsi="Times New Roman"/>
          <w:sz w:val="20"/>
        </w:rPr>
        <w:t xml:space="preserve">(iv) the implementation of a plan of complete liquidation or dissolution of the Company; or </w:t>
      </w:r>
    </w:p>
    <w:p>
      <w:pPr>
        <w:pStyle w:val="TextBody"/>
        <w:bidi w:val="0"/>
        <w:spacing w:before="120" w:after="0"/>
        <w:jc w:val="left"/>
        <w:rPr>
          <w:rFonts w:ascii="Times New Roman" w:hAnsi="Times New Roman"/>
          <w:sz w:val="20"/>
        </w:rPr>
      </w:pPr>
      <w:r>
        <w:rPr>
          <w:rFonts w:ascii="Times New Roman" w:hAnsi="Times New Roman"/>
          <w:sz w:val="20"/>
        </w:rPr>
        <w:t xml:space="preserve">(v) there is consummated a sale or disposition by the Company of all or substantially all of the Company’s assets, other than a sale or disposition by the Company of all or substantially all of the Company’s assets to an entity, at least 50% of the combined voting power of the voting securities of which is owned by shareholders of the Company in substantially the same proportions as their ownership of the Company immediately prior to such sale.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 “</w:t>
      </w:r>
      <w:r>
        <w:rPr>
          <w:rFonts w:ascii="Times New Roman" w:hAnsi="Times New Roman"/>
          <w:b/>
          <w:i/>
          <w:sz w:val="20"/>
        </w:rPr>
        <w:t>Code</w:t>
      </w:r>
      <w:r>
        <w:rPr>
          <w:rFonts w:ascii="Times New Roman" w:hAnsi="Times New Roman"/>
          <w:sz w:val="20"/>
        </w:rPr>
        <w:t xml:space="preserve">” means the Internal Revenue Code of 1986, as amended from time to time, and the rulings and regulations issued thereunder. </w:t>
      </w:r>
    </w:p>
    <w:p>
      <w:pPr>
        <w:pStyle w:val="TextBody"/>
        <w:bidi w:val="0"/>
        <w:spacing w:before="120" w:after="0"/>
        <w:jc w:val="left"/>
        <w:rPr>
          <w:rFonts w:ascii="Times New Roman" w:hAnsi="Times New Roman"/>
          <w:sz w:val="20"/>
        </w:rPr>
      </w:pPr>
      <w:r>
        <w:rPr>
          <w:rFonts w:ascii="Times New Roman" w:hAnsi="Times New Roman"/>
          <w:sz w:val="20"/>
        </w:rPr>
        <w:t>(j) “</w:t>
      </w:r>
      <w:r>
        <w:rPr>
          <w:rFonts w:ascii="Times New Roman" w:hAnsi="Times New Roman"/>
          <w:b/>
          <w:i/>
          <w:sz w:val="20"/>
        </w:rPr>
        <w:t>Committee</w:t>
      </w:r>
      <w:r>
        <w:rPr>
          <w:rFonts w:ascii="Times New Roman" w:hAnsi="Times New Roman"/>
          <w:sz w:val="20"/>
        </w:rPr>
        <w:t xml:space="preserve">” means the Compensation Committee of the Board (or any successor committee) or such other committee as designated by the Board to administer the Plan under </w:t>
      </w:r>
      <w:r>
        <w:rPr>
          <w:rFonts w:ascii="Times New Roman" w:hAnsi="Times New Roman"/>
          <w:sz w:val="20"/>
          <w:u w:val="single"/>
        </w:rPr>
        <w:t>Section 6</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(k) “</w:t>
      </w:r>
      <w:r>
        <w:rPr>
          <w:rFonts w:ascii="Times New Roman" w:hAnsi="Times New Roman"/>
          <w:b/>
          <w:i/>
          <w:sz w:val="20"/>
        </w:rPr>
        <w:t>Company</w:t>
      </w:r>
      <w:r>
        <w:rPr>
          <w:rFonts w:ascii="Times New Roman" w:hAnsi="Times New Roman"/>
          <w:sz w:val="20"/>
        </w:rPr>
        <w:t xml:space="preserve">” means Damora Therapeutics, Inc., a Cayman Islands exempted company, and except as utilized in the definition of Change in Control, any successor corporation. </w:t>
      </w:r>
    </w:p>
    <w:p>
      <w:pPr>
        <w:pStyle w:val="TextBody"/>
        <w:bidi w:val="0"/>
        <w:spacing w:before="120" w:after="0"/>
        <w:jc w:val="left"/>
        <w:rPr>
          <w:rFonts w:ascii="Times New Roman" w:hAnsi="Times New Roman"/>
          <w:sz w:val="20"/>
        </w:rPr>
      </w:pPr>
      <w:r>
        <w:rPr>
          <w:rFonts w:ascii="Times New Roman" w:hAnsi="Times New Roman"/>
          <w:sz w:val="20"/>
        </w:rPr>
        <w:t>(l) “</w:t>
      </w:r>
      <w:r>
        <w:rPr>
          <w:rFonts w:ascii="Times New Roman" w:hAnsi="Times New Roman"/>
          <w:b/>
          <w:i/>
          <w:sz w:val="20"/>
        </w:rPr>
        <w:t>Disability</w:t>
      </w:r>
      <w:r>
        <w:rPr>
          <w:rFonts w:ascii="Times New Roman" w:hAnsi="Times New Roman"/>
          <w:sz w:val="20"/>
        </w:rPr>
        <w:t xml:space="preserve">” has the meaning set forth in a written employment, offer, services or severance agreement or letter between the Participant and the Company or an Affiliate, or in any severance plan in which the Participant participates, or if there is no such agreement or plan or no such term is defined in such agreement or plan, means the inability of the Participant to engage in any substantial gainful activity by reason of any medically determinable physical or mental impairment. A determination of Disability shall be made by the Committee on the basis of such medical evidence as the Committee deems warranted under the circumstances, and in this respect, Participants shall submit to an examination by a physician upon request by the Committee. </w:t>
      </w:r>
    </w:p>
    <w:p>
      <w:pPr>
        <w:pStyle w:val="TextBody"/>
        <w:bidi w:val="0"/>
        <w:spacing w:before="120" w:after="0"/>
        <w:jc w:val="left"/>
        <w:rPr>
          <w:rFonts w:ascii="Times New Roman" w:hAnsi="Times New Roman"/>
          <w:sz w:val="20"/>
        </w:rPr>
      </w:pPr>
      <w:r>
        <w:rPr>
          <w:rFonts w:ascii="Times New Roman" w:hAnsi="Times New Roman"/>
          <w:sz w:val="20"/>
        </w:rPr>
        <w:t>(m) “</w:t>
      </w:r>
      <w:r>
        <w:rPr>
          <w:rFonts w:ascii="Times New Roman" w:hAnsi="Times New Roman"/>
          <w:b/>
          <w:i/>
          <w:sz w:val="20"/>
        </w:rPr>
        <w:t>Dividend Equivalent</w:t>
      </w:r>
      <w:r>
        <w:rPr>
          <w:rFonts w:ascii="Times New Roman" w:hAnsi="Times New Roman"/>
          <w:sz w:val="20"/>
        </w:rPr>
        <w:t xml:space="preserve">” means an amount payable in cash or Ordinary Shares, as determined by the Committee, equal to the dividends that would have been paid to the Participant if the Ordinary Share with respect to which the Dividend Equivalent relates had been owned by the Participant. </w:t>
      </w:r>
    </w:p>
    <w:p>
      <w:pPr>
        <w:pStyle w:val="TextBody"/>
        <w:bidi w:val="0"/>
        <w:spacing w:before="120" w:after="0"/>
        <w:jc w:val="left"/>
        <w:rPr>
          <w:rFonts w:ascii="Times New Roman" w:hAnsi="Times New Roman"/>
          <w:sz w:val="20"/>
        </w:rPr>
      </w:pPr>
      <w:r>
        <w:rPr>
          <w:rFonts w:ascii="Times New Roman" w:hAnsi="Times New Roman"/>
          <w:sz w:val="20"/>
        </w:rPr>
        <w:t>(n) “</w:t>
      </w:r>
      <w:r>
        <w:rPr>
          <w:rFonts w:ascii="Times New Roman" w:hAnsi="Times New Roman"/>
          <w:b/>
          <w:i/>
          <w:sz w:val="20"/>
        </w:rPr>
        <w:t>Effective Date</w:t>
      </w:r>
      <w:r>
        <w:rPr>
          <w:rFonts w:ascii="Times New Roman" w:hAnsi="Times New Roman"/>
          <w:sz w:val="20"/>
        </w:rPr>
        <w:t xml:space="preserve">” means the date on which the Plan takes effect, as defined pursuant to </w:t>
      </w:r>
      <w:r>
        <w:rPr>
          <w:rFonts w:ascii="Times New Roman" w:hAnsi="Times New Roman"/>
          <w:sz w:val="20"/>
          <w:u w:val="single"/>
        </w:rPr>
        <w:t>Section 4</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(o) “</w:t>
      </w:r>
      <w:r>
        <w:rPr>
          <w:rFonts w:ascii="Times New Roman" w:hAnsi="Times New Roman"/>
          <w:b/>
          <w:i/>
          <w:sz w:val="20"/>
        </w:rPr>
        <w:t>Eligible Person</w:t>
      </w:r>
      <w:r>
        <w:rPr>
          <w:rFonts w:ascii="Times New Roman" w:hAnsi="Times New Roman"/>
          <w:sz w:val="20"/>
        </w:rPr>
        <w:t xml:space="preserve">” any current or prospective employee, officer, non-employee director or other individual service provider of the Company or any Subsidiary; </w:t>
      </w:r>
      <w:r>
        <w:rPr>
          <w:rFonts w:ascii="Times New Roman" w:hAnsi="Times New Roman"/>
          <w:i/>
          <w:sz w:val="20"/>
        </w:rPr>
        <w:t>provided, however</w:t>
      </w:r>
      <w:r>
        <w:rPr>
          <w:rFonts w:ascii="Times New Roman" w:hAnsi="Times New Roman"/>
          <w:sz w:val="20"/>
        </w:rPr>
        <w:t xml:space="preserve">, that Incentive Stock Options may only be granted to employees of the Company or any of its “subsidiary corporations” within the meaning of Section 424 of the Code. </w:t>
      </w:r>
    </w:p>
    <w:p>
      <w:pPr>
        <w:pStyle w:val="TextBody"/>
        <w:bidi w:val="0"/>
        <w:spacing w:before="120" w:after="0"/>
        <w:jc w:val="left"/>
        <w:rPr>
          <w:rFonts w:ascii="Times New Roman" w:hAnsi="Times New Roman"/>
          <w:sz w:val="20"/>
        </w:rPr>
      </w:pPr>
      <w:r>
        <w:rPr>
          <w:rFonts w:ascii="Times New Roman" w:hAnsi="Times New Roman"/>
          <w:sz w:val="20"/>
        </w:rPr>
        <w:t>(p) “</w:t>
      </w:r>
      <w:r>
        <w:rPr>
          <w:rFonts w:ascii="Times New Roman" w:hAnsi="Times New Roman"/>
          <w:b/>
          <w:i/>
          <w:sz w:val="20"/>
        </w:rPr>
        <w:t>Fair Market Value</w:t>
      </w:r>
      <w:r>
        <w:rPr>
          <w:rFonts w:ascii="Times New Roman" w:hAnsi="Times New Roman"/>
          <w:sz w:val="20"/>
        </w:rPr>
        <w:t xml:space="preserve">” means as of any date, the value of the Ordinary Shares determined as follows: (i) if the Ordinary Shares are listed on any established stock exchange, system or market, their Fair Market Value shall be the closing price of an Ordinary Share as quoted on such exchange, system or market as reported in the Wall Street Journal or such other source as the Committee deems reliable (or, if no sale of Ordinary Shares are reported for such date, on the next preceding date on which any sale shall have been reported); and (ii) in the absence of an established market for the Ordinary Shares, the Fair Market Value thereof shall be determined in good faith by the Committee by the reasonable application of a reasonable valuation method, taking into account factors consistent with Treas. Reg. § 409A-1(b)(5)(iv)(B) as the Committee deems appropriate. </w:t>
      </w:r>
    </w:p>
    <w:p>
      <w:pPr>
        <w:pStyle w:val="TextBody"/>
        <w:bidi w:val="0"/>
        <w:spacing w:before="120" w:after="0"/>
        <w:jc w:val="left"/>
        <w:rPr>
          <w:rFonts w:ascii="Times New Roman" w:hAnsi="Times New Roman"/>
          <w:sz w:val="20"/>
        </w:rPr>
      </w:pPr>
      <w:r>
        <w:rPr>
          <w:rFonts w:ascii="Times New Roman" w:hAnsi="Times New Roman"/>
          <w:sz w:val="20"/>
        </w:rPr>
        <w:t>(q) “</w:t>
      </w:r>
      <w:r>
        <w:rPr>
          <w:rFonts w:ascii="Times New Roman" w:hAnsi="Times New Roman"/>
          <w:b/>
          <w:i/>
          <w:sz w:val="20"/>
        </w:rPr>
        <w:t>Incentive Bonus</w:t>
      </w:r>
      <w:r>
        <w:rPr>
          <w:rFonts w:ascii="Times New Roman" w:hAnsi="Times New Roman"/>
          <w:sz w:val="20"/>
        </w:rPr>
        <w:t xml:space="preserve">” means a bonus opportunity awarded under </w:t>
      </w:r>
      <w:r>
        <w:rPr>
          <w:rFonts w:ascii="Times New Roman" w:hAnsi="Times New Roman"/>
          <w:sz w:val="20"/>
          <w:u w:val="single"/>
        </w:rPr>
        <w:t>Section 12</w:t>
      </w:r>
      <w:r>
        <w:rPr>
          <w:rFonts w:ascii="Times New Roman" w:hAnsi="Times New Roman"/>
          <w:sz w:val="20"/>
        </w:rPr>
        <w:t xml:space="preserve"> pursuant to which a Participant may become entitled to receive an amount based on satisfaction of such performance criteria established for a specified performance period as specified in the Award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(r) “</w:t>
      </w:r>
      <w:r>
        <w:rPr>
          <w:rFonts w:ascii="Times New Roman" w:hAnsi="Times New Roman"/>
          <w:b/>
          <w:i/>
          <w:sz w:val="20"/>
        </w:rPr>
        <w:t>Incentive Stock Option</w:t>
      </w:r>
      <w:r>
        <w:rPr>
          <w:rFonts w:ascii="Times New Roman" w:hAnsi="Times New Roman"/>
          <w:sz w:val="20"/>
        </w:rPr>
        <w:t xml:space="preserve">” means an Option that is intended to qualify as an “incentive stock option” within the meaning of Section 422 of the Code. </w:t>
      </w:r>
    </w:p>
    <w:p>
      <w:pPr>
        <w:pStyle w:val="TextBody"/>
        <w:bidi w:val="0"/>
        <w:spacing w:before="120" w:after="0"/>
        <w:jc w:val="left"/>
        <w:rPr>
          <w:rFonts w:ascii="Times New Roman" w:hAnsi="Times New Roman"/>
          <w:sz w:val="20"/>
        </w:rPr>
      </w:pPr>
      <w:r>
        <w:rPr>
          <w:rFonts w:ascii="Times New Roman" w:hAnsi="Times New Roman"/>
          <w:sz w:val="20"/>
        </w:rPr>
        <w:t>(s) “</w:t>
      </w:r>
      <w:r>
        <w:rPr>
          <w:rFonts w:ascii="Times New Roman" w:hAnsi="Times New Roman"/>
          <w:b/>
          <w:i/>
          <w:sz w:val="20"/>
        </w:rPr>
        <w:t>Nonqualified Stock Option</w:t>
      </w:r>
      <w:r>
        <w:rPr>
          <w:rFonts w:ascii="Times New Roman" w:hAnsi="Times New Roman"/>
          <w:sz w:val="20"/>
        </w:rPr>
        <w:t xml:space="preserve">” means an Option that is not intended to qualify as an “incentive stock option” within the meaning of Section 422 of the Code. </w:t>
      </w:r>
    </w:p>
    <w:p>
      <w:pPr>
        <w:pStyle w:val="TextBody"/>
        <w:bidi w:val="0"/>
        <w:spacing w:before="120" w:after="0"/>
        <w:jc w:val="left"/>
        <w:rPr>
          <w:rFonts w:ascii="Times New Roman" w:hAnsi="Times New Roman"/>
          <w:sz w:val="20"/>
        </w:rPr>
      </w:pPr>
      <w:r>
        <w:rPr>
          <w:rFonts w:ascii="Times New Roman" w:hAnsi="Times New Roman"/>
          <w:sz w:val="20"/>
        </w:rPr>
        <w:t>(t) “</w:t>
      </w:r>
      <w:r>
        <w:rPr>
          <w:rFonts w:ascii="Times New Roman" w:hAnsi="Times New Roman"/>
          <w:b/>
          <w:i/>
          <w:sz w:val="20"/>
        </w:rPr>
        <w:t>Option</w:t>
      </w:r>
      <w:r>
        <w:rPr>
          <w:rFonts w:ascii="Times New Roman" w:hAnsi="Times New Roman"/>
          <w:sz w:val="20"/>
        </w:rPr>
        <w:t xml:space="preserve">” means a right to purchase a number of Ordinary Shares at such exercise price, at such times and on such other terms and conditions as are specified in or determined pursuant to an Award Agreement. Options granted pursuant to the Plan may be Incentive Stock Options or Nonqualified Stock Options. </w:t>
      </w:r>
    </w:p>
    <w:p>
      <w:pPr>
        <w:pStyle w:val="TextBody"/>
        <w:bidi w:val="0"/>
        <w:spacing w:before="120" w:after="0"/>
        <w:jc w:val="left"/>
        <w:rPr>
          <w:rFonts w:ascii="Times New Roman" w:hAnsi="Times New Roman"/>
          <w:sz w:val="20"/>
        </w:rPr>
      </w:pPr>
      <w:r>
        <w:rPr>
          <w:rFonts w:ascii="Times New Roman" w:hAnsi="Times New Roman"/>
          <w:sz w:val="20"/>
        </w:rPr>
        <w:t>(u) “</w:t>
      </w:r>
      <w:r>
        <w:rPr>
          <w:rFonts w:ascii="Times New Roman" w:hAnsi="Times New Roman"/>
          <w:b/>
          <w:i/>
          <w:sz w:val="20"/>
        </w:rPr>
        <w:t>Ordinary Shares</w:t>
      </w:r>
      <w:r>
        <w:rPr>
          <w:rFonts w:ascii="Times New Roman" w:hAnsi="Times New Roman"/>
          <w:sz w:val="20"/>
        </w:rPr>
        <w:t xml:space="preserve">” means the ordinary shares of the Company, $0.00001 par value per share, or such other class or kind of shares or other securities as may be applicable under </w:t>
      </w:r>
      <w:r>
        <w:rPr>
          <w:rFonts w:ascii="Times New Roman" w:hAnsi="Times New Roman"/>
          <w:sz w:val="20"/>
          <w:u w:val="single"/>
        </w:rPr>
        <w:t>Section 16</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(v) “</w:t>
      </w:r>
      <w:r>
        <w:rPr>
          <w:rFonts w:ascii="Times New Roman" w:hAnsi="Times New Roman"/>
          <w:b/>
          <w:i/>
          <w:sz w:val="20"/>
        </w:rPr>
        <w:t>Other Stock-Based Award</w:t>
      </w:r>
      <w:r>
        <w:rPr>
          <w:rFonts w:ascii="Times New Roman" w:hAnsi="Times New Roman"/>
          <w:sz w:val="20"/>
        </w:rPr>
        <w:t xml:space="preserve">” means an Award granted to an Eligible Person under </w:t>
      </w:r>
      <w:r>
        <w:rPr>
          <w:rFonts w:ascii="Times New Roman" w:hAnsi="Times New Roman"/>
          <w:sz w:val="20"/>
          <w:u w:val="single"/>
        </w:rPr>
        <w:t>Section 11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(w) “</w:t>
      </w:r>
      <w:r>
        <w:rPr>
          <w:rFonts w:ascii="Times New Roman" w:hAnsi="Times New Roman"/>
          <w:b/>
          <w:i/>
          <w:sz w:val="20"/>
        </w:rPr>
        <w:t>Outstanding Ordinary Shares</w:t>
      </w:r>
      <w:r>
        <w:rPr>
          <w:rFonts w:ascii="Times New Roman" w:hAnsi="Times New Roman"/>
          <w:sz w:val="20"/>
        </w:rPr>
        <w:t xml:space="preserve">” means the sum of (i) the Ordinary Shares outstanding, (ii) the Ordinary Shares underlying unexercised pre-funded warrants, and (iii) the Ordinary Shares underlying the Company’s preferred shares, par value $0.00001 (determined on an as-converted basis without regard to any limitations on such conversion). </w:t>
      </w:r>
    </w:p>
    <w:p>
      <w:pPr>
        <w:pStyle w:val="TextBody"/>
        <w:bidi w:val="0"/>
        <w:spacing w:before="120" w:after="0"/>
        <w:jc w:val="left"/>
        <w:rPr>
          <w:rFonts w:ascii="Times New Roman" w:hAnsi="Times New Roman"/>
          <w:sz w:val="20"/>
        </w:rPr>
      </w:pPr>
      <w:r>
        <w:rPr>
          <w:rFonts w:ascii="Times New Roman" w:hAnsi="Times New Roman"/>
          <w:sz w:val="20"/>
        </w:rPr>
        <w:t>(x) “</w:t>
      </w:r>
      <w:r>
        <w:rPr>
          <w:rFonts w:ascii="Times New Roman" w:hAnsi="Times New Roman"/>
          <w:b/>
          <w:i/>
          <w:sz w:val="20"/>
        </w:rPr>
        <w:t>Participant</w:t>
      </w:r>
      <w:r>
        <w:rPr>
          <w:rFonts w:ascii="Times New Roman" w:hAnsi="Times New Roman"/>
          <w:sz w:val="20"/>
        </w:rPr>
        <w:t xml:space="preserve">” means any Eligible Person to whom Awards have been granted from time to time by the Committee and any authorized transferee of such individual. </w:t>
      </w:r>
    </w:p>
    <w:p>
      <w:pPr>
        <w:pStyle w:val="TextBody"/>
        <w:bidi w:val="0"/>
        <w:spacing w:before="120" w:after="0"/>
        <w:jc w:val="left"/>
        <w:rPr>
          <w:rFonts w:ascii="Times New Roman" w:hAnsi="Times New Roman"/>
          <w:sz w:val="20"/>
        </w:rPr>
      </w:pPr>
      <w:r>
        <w:rPr>
          <w:rFonts w:ascii="Times New Roman" w:hAnsi="Times New Roman"/>
          <w:sz w:val="20"/>
        </w:rPr>
        <w:t>(y) “</w:t>
      </w:r>
      <w:r>
        <w:rPr>
          <w:rFonts w:ascii="Times New Roman" w:hAnsi="Times New Roman"/>
          <w:b/>
          <w:i/>
          <w:sz w:val="20"/>
        </w:rPr>
        <w:t>Person</w:t>
      </w:r>
      <w:r>
        <w:rPr>
          <w:rFonts w:ascii="Times New Roman" w:hAnsi="Times New Roman"/>
          <w:sz w:val="20"/>
        </w:rPr>
        <w:t xml:space="preserve">” shall have the meaning given in Section 3(a)(9) of the Act, as modified and used in Sections 14(d) and 15(d) thereof, except that such term shall not include (i) the Company or any of its Affiliates, (ii) a trustee or other fiduciary holding securities under an employee benefit plan of the Company or any of its Subsidiaries, (iii) an underwriter temporarily holding securities pursuant to an offering of such securities or (iv) a corporation owned, directly or indirectly, by the shareholders of the Company in substantially the same proportions as their ownership of shares of the Company. </w:t>
      </w:r>
    </w:p>
    <w:p>
      <w:pPr>
        <w:pStyle w:val="TextBody"/>
        <w:bidi w:val="0"/>
        <w:spacing w:before="120" w:after="0"/>
        <w:jc w:val="left"/>
        <w:rPr>
          <w:rFonts w:ascii="Times New Roman" w:hAnsi="Times New Roman"/>
          <w:sz w:val="20"/>
        </w:rPr>
      </w:pPr>
      <w:r>
        <w:rPr>
          <w:rFonts w:ascii="Times New Roman" w:hAnsi="Times New Roman"/>
          <w:sz w:val="20"/>
        </w:rPr>
        <w:t>(z) “</w:t>
      </w:r>
      <w:r>
        <w:rPr>
          <w:rFonts w:ascii="Times New Roman" w:hAnsi="Times New Roman"/>
          <w:b/>
          <w:i/>
          <w:sz w:val="20"/>
        </w:rPr>
        <w:t>Restricted Stock</w:t>
      </w:r>
      <w:r>
        <w:rPr>
          <w:rFonts w:ascii="Times New Roman" w:hAnsi="Times New Roman"/>
          <w:sz w:val="20"/>
        </w:rPr>
        <w:t xml:space="preserve">” means an Award or issuance of Ordinary Shares the grant, issuance, vesting and/or transferability of which is subject during specified periods of time to such conditions (including continued employment or engagement or performance conditions) and terms as the Committee deems appropriate. </w:t>
      </w:r>
    </w:p>
    <w:p>
      <w:pPr>
        <w:pStyle w:val="TextBody"/>
        <w:bidi w:val="0"/>
        <w:spacing w:before="120" w:after="0"/>
        <w:jc w:val="left"/>
        <w:rPr>
          <w:rFonts w:ascii="Times New Roman" w:hAnsi="Times New Roman"/>
          <w:sz w:val="20"/>
        </w:rPr>
      </w:pPr>
      <w:r>
        <w:rPr>
          <w:rFonts w:ascii="Times New Roman" w:hAnsi="Times New Roman"/>
          <w:sz w:val="20"/>
        </w:rPr>
        <w:t>(aa) “</w:t>
      </w:r>
      <w:r>
        <w:rPr>
          <w:rFonts w:ascii="Times New Roman" w:hAnsi="Times New Roman"/>
          <w:b/>
          <w:i/>
          <w:sz w:val="20"/>
        </w:rPr>
        <w:t>Restricted Stock Unit</w:t>
      </w:r>
      <w:r>
        <w:rPr>
          <w:rFonts w:ascii="Times New Roman" w:hAnsi="Times New Roman"/>
          <w:sz w:val="20"/>
        </w:rPr>
        <w:t xml:space="preserve">” means an Award denominated in units of Ordinary Shares under which the issuance of shares of such Ordinary Shares (or cash payment in lieu thereof) is subject to such conditions (including continued employment or engagement or performance conditions) and terms as the Committee deems appropriate. </w:t>
      </w:r>
    </w:p>
    <w:p>
      <w:pPr>
        <w:pStyle w:val="TextBody"/>
        <w:bidi w:val="0"/>
        <w:spacing w:before="120" w:after="0"/>
        <w:jc w:val="left"/>
        <w:rPr>
          <w:rFonts w:ascii="Times New Roman" w:hAnsi="Times New Roman"/>
          <w:sz w:val="20"/>
        </w:rPr>
      </w:pPr>
      <w:r>
        <w:rPr>
          <w:rFonts w:ascii="Times New Roman" w:hAnsi="Times New Roman"/>
          <w:sz w:val="20"/>
        </w:rPr>
        <w:t>(bb) “</w:t>
      </w:r>
      <w:r>
        <w:rPr>
          <w:rFonts w:ascii="Times New Roman" w:hAnsi="Times New Roman"/>
          <w:b/>
          <w:i/>
          <w:sz w:val="20"/>
        </w:rPr>
        <w:t>Separation from Service</w:t>
      </w:r>
      <w:r>
        <w:rPr>
          <w:rFonts w:ascii="Times New Roman" w:hAnsi="Times New Roman"/>
          <w:sz w:val="20"/>
        </w:rPr>
        <w:t>” or “</w:t>
      </w:r>
      <w:r>
        <w:rPr>
          <w:rFonts w:ascii="Times New Roman" w:hAnsi="Times New Roman"/>
          <w:b/>
          <w:i/>
          <w:sz w:val="20"/>
        </w:rPr>
        <w:t>Separates from Service</w:t>
      </w:r>
      <w:r>
        <w:rPr>
          <w:rFonts w:ascii="Times New Roman" w:hAnsi="Times New Roman"/>
          <w:sz w:val="20"/>
        </w:rPr>
        <w:t xml:space="preserve">” means a Termination of Employment that constitutes a “separation from service” within the meaning of Section 409A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(cc) “</w:t>
      </w:r>
      <w:r>
        <w:rPr>
          <w:rFonts w:ascii="Times New Roman" w:hAnsi="Times New Roman"/>
          <w:b/>
          <w:i/>
          <w:sz w:val="20"/>
        </w:rPr>
        <w:t>Stock Appreciation Right</w:t>
      </w:r>
      <w:r>
        <w:rPr>
          <w:rFonts w:ascii="Times New Roman" w:hAnsi="Times New Roman"/>
          <w:sz w:val="20"/>
        </w:rPr>
        <w:t>” or “</w:t>
      </w:r>
      <w:r>
        <w:rPr>
          <w:rFonts w:ascii="Times New Roman" w:hAnsi="Times New Roman"/>
          <w:b/>
          <w:i/>
          <w:sz w:val="20"/>
        </w:rPr>
        <w:t>SAR</w:t>
      </w:r>
      <w:r>
        <w:rPr>
          <w:rFonts w:ascii="Times New Roman" w:hAnsi="Times New Roman"/>
          <w:sz w:val="20"/>
        </w:rPr>
        <w:t xml:space="preserve">” means a right granted that entitles the Participant to receive, in cash or Ordinary Shares or a combination thereof, as determined by the Committee, value equal to the excess of (i) the Fair Market Value of a specified number of Ordinary Shares at the time of exercise over (ii) the exercise price of the right, as established by the Committee on the date of grant. </w:t>
      </w:r>
    </w:p>
    <w:p>
      <w:pPr>
        <w:pStyle w:val="TextBody"/>
        <w:bidi w:val="0"/>
        <w:spacing w:before="120" w:after="0"/>
        <w:jc w:val="left"/>
        <w:rPr>
          <w:rFonts w:ascii="Times New Roman" w:hAnsi="Times New Roman"/>
          <w:sz w:val="20"/>
        </w:rPr>
      </w:pPr>
      <w:r>
        <w:rPr>
          <w:rFonts w:ascii="Times New Roman" w:hAnsi="Times New Roman"/>
          <w:sz w:val="20"/>
        </w:rPr>
        <w:t>(dd) “</w:t>
      </w:r>
      <w:r>
        <w:rPr>
          <w:rFonts w:ascii="Times New Roman" w:hAnsi="Times New Roman"/>
          <w:b/>
          <w:i/>
          <w:sz w:val="20"/>
        </w:rPr>
        <w:t>Subsidiary</w:t>
      </w:r>
      <w:r>
        <w:rPr>
          <w:rFonts w:ascii="Times New Roman" w:hAnsi="Times New Roman"/>
          <w:sz w:val="20"/>
        </w:rPr>
        <w:t xml:space="preserve">” means any business association (including a corporation or a partnership, other than the Company) in an unbroken chain of such associations beginning with the Company if each of the associations other than the last association in the unbroken chain owns equity interests (including stock or partnership interests) possessing 50% or more of the total combined voting power of all classes of equity interests in one of the other associations in such chain. </w:t>
      </w:r>
    </w:p>
    <w:p>
      <w:pPr>
        <w:pStyle w:val="TextBody"/>
        <w:bidi w:val="0"/>
        <w:spacing w:before="120" w:after="0"/>
        <w:jc w:val="left"/>
        <w:rPr>
          <w:rFonts w:ascii="Times New Roman" w:hAnsi="Times New Roman"/>
          <w:sz w:val="20"/>
        </w:rPr>
      </w:pPr>
      <w:r>
        <w:rPr>
          <w:rFonts w:ascii="Times New Roman" w:hAnsi="Times New Roman"/>
          <w:sz w:val="20"/>
        </w:rPr>
        <w:t>(ee) “</w:t>
      </w:r>
      <w:r>
        <w:rPr>
          <w:rFonts w:ascii="Times New Roman" w:hAnsi="Times New Roman"/>
          <w:b/>
          <w:i/>
          <w:sz w:val="20"/>
        </w:rPr>
        <w:t>Substitute Awards</w:t>
      </w:r>
      <w:r>
        <w:rPr>
          <w:rFonts w:ascii="Times New Roman" w:hAnsi="Times New Roman"/>
          <w:sz w:val="20"/>
        </w:rPr>
        <w:t xml:space="preserve">” means Awards granted or Ordinary Shares issued by the Company in assumption of, or in substitution or exchange for, awards previously granted, or the right or obligation to make future awards, by a company acquired by the Company or any Subsidiary or with which the Company or any Subsidiary combines. </w:t>
      </w:r>
    </w:p>
    <w:p>
      <w:pPr>
        <w:pStyle w:val="TextBody"/>
        <w:bidi w:val="0"/>
        <w:spacing w:before="120" w:after="0"/>
        <w:jc w:val="left"/>
        <w:rPr>
          <w:rFonts w:ascii="Times New Roman" w:hAnsi="Times New Roman"/>
          <w:sz w:val="20"/>
        </w:rPr>
      </w:pPr>
      <w:r>
        <w:rPr>
          <w:rFonts w:ascii="Times New Roman" w:hAnsi="Times New Roman"/>
          <w:sz w:val="20"/>
        </w:rPr>
        <w:t>(ff) “</w:t>
      </w:r>
      <w:r>
        <w:rPr>
          <w:rFonts w:ascii="Times New Roman" w:hAnsi="Times New Roman"/>
          <w:b/>
          <w:i/>
          <w:sz w:val="20"/>
        </w:rPr>
        <w:t>Termination of Employment</w:t>
      </w:r>
      <w:r>
        <w:rPr>
          <w:rFonts w:ascii="Times New Roman" w:hAnsi="Times New Roman"/>
          <w:sz w:val="20"/>
        </w:rPr>
        <w:t xml:space="preserve">” means ceasing to serve as an employee of the Company and its Subsidiaries or, with respect to a non-employee director or other service provider, ceasing to serve as such for the Company and its Subsidiaries, except that with respect to all or any Awards held by a Participant (i) the Committee may determine that a leave of absence (including as a result of a Participant’s short-term or long-term disability or other medical leave) or employment on a less than full-time basis is considered a “Termination of Employment,” (ii) the Committee may determine that a transition from employment to service with a partnership, joint venture or corporation not meeting the requirements of a Subsidiary in which the Company or a Subsidiary is a party is not considered a “Termination of Employment,” (iii) service as a member of the Board shall constitute continued service with respect to Awards granted to a Participant while he or she served as an employee, (iv) service as an employee of the Company or a Subsidiary shall constitute continued employment with respect to Awards granted to a Participant while he or she served as a member of the Board or other service provider, and (v) the Committee may determine that a transition from employment with the Company or a Subsidiary to service to the Company or a Subsidiary other than as an employee shall constitute a “Termination of Employment”. The Committee shall determine whether any corporate transaction, such as a sale or spin-off of a division or Subsidiary that employs or engages a Participant, shall be deemed to result in a Termination of Employment with the Company and its Subsidiaries for purposes of any affected Participant’s Awards, and the Committee’s decision shall be final and binding.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Eligibility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Any Eligible Person is eligible for selection by the Committee to receive an Award.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4.</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Effective Date and Termination of Plan </w:t>
            </w:r>
          </w:p>
        </w:tc>
      </w:tr>
    </w:tbl>
    <w:p>
      <w:pPr>
        <w:pStyle w:val="TextBody"/>
        <w:bidi w:val="0"/>
        <w:spacing w:before="120" w:after="0"/>
        <w:jc w:val="left"/>
        <w:rPr>
          <w:rFonts w:ascii="Times New Roman" w:hAnsi="Times New Roman"/>
          <w:sz w:val="20"/>
        </w:rPr>
      </w:pPr>
      <w:r>
        <w:rPr>
          <w:rFonts w:ascii="Times New Roman" w:hAnsi="Times New Roman"/>
          <w:sz w:val="20"/>
        </w:rPr>
        <w:t>This Plan became effective on February 9, 2026 (the “</w:t>
      </w:r>
      <w:r>
        <w:rPr>
          <w:rFonts w:ascii="Times New Roman" w:hAnsi="Times New Roman"/>
          <w:b/>
          <w:i/>
          <w:sz w:val="20"/>
        </w:rPr>
        <w:t>Effective Date</w:t>
      </w:r>
      <w:r>
        <w:rPr>
          <w:rFonts w:ascii="Times New Roman" w:hAnsi="Times New Roman"/>
          <w:sz w:val="20"/>
        </w:rPr>
        <w:t xml:space="preserve">”). The Plan shall remain available for the grant of Awards until December 13, 2035. Notwithstanding the foregoing, the Plan may be terminated at such earlier time as the Board may determine. Termination of the Plan will not affect the rights and obligations of the Participants and the Company arising under Awards theretofore granted.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5.</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Shares Subject to the Plan and to Awards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Aggregate Limits</w:t>
      </w:r>
      <w:r>
        <w:rPr>
          <w:rFonts w:ascii="Times New Roman" w:hAnsi="Times New Roman"/>
          <w:sz w:val="20"/>
        </w:rPr>
        <w:t xml:space="preserve">. The aggregate number of Ordinary Shares issuable under the Plan shall be equal to (i) 9,299,832, </w:t>
      </w:r>
      <w:r>
        <w:rPr>
          <w:rFonts w:ascii="Times New Roman" w:hAnsi="Times New Roman"/>
          <w:i/>
          <w:sz w:val="20"/>
        </w:rPr>
        <w:t>plus</w:t>
      </w:r>
      <w:r>
        <w:rPr>
          <w:rFonts w:ascii="Times New Roman" w:hAnsi="Times New Roman"/>
          <w:sz w:val="20"/>
        </w:rPr>
        <w:t xml:space="preserve"> (ii) any Ordinary Shares added as a result of the following sentence (collectively, the “</w:t>
      </w:r>
      <w:r>
        <w:rPr>
          <w:rFonts w:ascii="Times New Roman" w:hAnsi="Times New Roman"/>
          <w:b/>
          <w:i/>
          <w:sz w:val="20"/>
        </w:rPr>
        <w:t>Share Pool</w:t>
      </w:r>
      <w:r>
        <w:rPr>
          <w:rFonts w:ascii="Times New Roman" w:hAnsi="Times New Roman"/>
          <w:sz w:val="20"/>
        </w:rPr>
        <w:t xml:space="preserve">”). The Share Pool will automatically increase on January 1 of each year beginning in 2027 and ending with a final increase on January 1, 2036 in an amount equal to 5% of the Outstanding Ordinary Shares on the preceding December 31; </w:t>
      </w:r>
      <w:r>
        <w:rPr>
          <w:rFonts w:ascii="Times New Roman" w:hAnsi="Times New Roman"/>
          <w:i/>
          <w:sz w:val="20"/>
        </w:rPr>
        <w:t>provided, however</w:t>
      </w:r>
      <w:r>
        <w:rPr>
          <w:rFonts w:ascii="Times New Roman" w:hAnsi="Times New Roman"/>
          <w:sz w:val="20"/>
        </w:rPr>
        <w:t xml:space="preserve">, that the Committee may provide that there will be no January 1 increase in the Share Pool for any such year or that the increase in the Share Pool for any such year will be a smaller number of Ordinary Shares than would otherwise occur pursuant to this sentence. The aggregate number of Ordinary Shares available for grant under this Plan and the number of Ordinary Shares subject to Awards outstanding at the time of any event described in </w:t>
      </w:r>
      <w:r>
        <w:rPr>
          <w:rFonts w:ascii="Times New Roman" w:hAnsi="Times New Roman"/>
          <w:sz w:val="20"/>
          <w:u w:val="single"/>
        </w:rPr>
        <w:t>Section 16</w:t>
      </w:r>
      <w:r>
        <w:rPr>
          <w:rFonts w:ascii="Times New Roman" w:hAnsi="Times New Roman"/>
          <w:sz w:val="20"/>
        </w:rPr>
        <w:t xml:space="preserve"> shall be subject to adjustment as provided in </w:t>
      </w:r>
      <w:r>
        <w:rPr>
          <w:rFonts w:ascii="Times New Roman" w:hAnsi="Times New Roman"/>
          <w:sz w:val="20"/>
          <w:u w:val="single"/>
        </w:rPr>
        <w:t>Section 16</w:t>
      </w:r>
      <w:r>
        <w:rPr>
          <w:rFonts w:ascii="Times New Roman" w:hAnsi="Times New Roman"/>
          <w:sz w:val="20"/>
        </w:rPr>
        <w:t xml:space="preserve">. The Ordinary Shares issued under this Plan may be shares that are authorized and unissued or shares that were reacquired by the Company, including shares purchased in the open market or in private transactions.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Issuance of Shares</w:t>
      </w:r>
      <w:r>
        <w:rPr>
          <w:rFonts w:ascii="Times New Roman" w:hAnsi="Times New Roman"/>
          <w:sz w:val="20"/>
        </w:rPr>
        <w:t xml:space="preserve">. For purposes of </w:t>
      </w:r>
      <w:r>
        <w:rPr>
          <w:rFonts w:ascii="Times New Roman" w:hAnsi="Times New Roman"/>
          <w:sz w:val="20"/>
          <w:u w:val="single"/>
        </w:rPr>
        <w:t>Section 5(a)</w:t>
      </w:r>
      <w:r>
        <w:rPr>
          <w:rFonts w:ascii="Times New Roman" w:hAnsi="Times New Roman"/>
          <w:sz w:val="20"/>
        </w:rPr>
        <w:t xml:space="preserve">, the aggregate number of Ordinary Shares issued under this Plan at any time shall equal only the number of Ordinary Shares actually issued upon exercise or settlement of an Award. Ordinary Shares subject to Awards that have been canceled, expired, forfeited or otherwise not issued under an Award and Ordinary Shares subject to Awards settled in cash shall not count as Ordinary Shares issued under this Plan. The aggregate number of shares available for issuance under this Plan at any time shall not be reduced by (i) shares subject to Awards that have been terminated, expired unexercised, forfeited or settled in cash, (ii) shares subject to Awards that have been retained or withheld by the Company in payment or satisfaction of the exercise price, purchase price or tax withholding obligation of an Award, or (iii) shares subject to Awards that otherwise do not result in the issuance of shares in connection with payment or settlement thereof. In addition, shares that have been delivered (either actually or by attestation) to the Company in payment or satisfaction of the exercise price, purchase price or tax withholding obligation of an Award shall be available for issuance under this Plan.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Substitute Awards</w:t>
      </w:r>
      <w:r>
        <w:rPr>
          <w:rFonts w:ascii="Times New Roman" w:hAnsi="Times New Roman"/>
          <w:sz w:val="20"/>
        </w:rPr>
        <w:t xml:space="preserve">. Substitute Awards shall not reduce the Ordinary Shares authorized for issuance under the Plan or authorized for grant to a Participant in any calendar year. Additionally, in the event that a company acquired by the Company or any Subsidiary, or with which the Company or any Subsidiary combines, has shares available under a pre-existing plan approved by shareholders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Ordinary Shares authorized for issuance under the Plan; </w:t>
      </w:r>
      <w:r>
        <w:rPr>
          <w:rFonts w:ascii="Times New Roman" w:hAnsi="Times New Roman"/>
          <w:i/>
          <w:sz w:val="20"/>
        </w:rPr>
        <w:t>provided, however</w:t>
      </w:r>
      <w:r>
        <w:rPr>
          <w:rFonts w:ascii="Times New Roman" w:hAnsi="Times New Roman"/>
          <w:sz w:val="20"/>
        </w:rPr>
        <w:t xml:space="preserve">, that Awards using such available shares (i) shall not be made after the date awards or grants could have been made under the terms of the pre-existing plan, absent the acquisition or combination, (ii) shall only be made to individuals who were not employees or service providers of the Company or its Affiliates at the time of such acquisition or combination, and (iii) shall comply with the requirements of any stock exchange or market or quotation system on which the Ordinary Shares are traded, listed or quoted.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Tax Code Limits</w:t>
      </w:r>
      <w:r>
        <w:rPr>
          <w:rFonts w:ascii="Times New Roman" w:hAnsi="Times New Roman"/>
          <w:sz w:val="20"/>
        </w:rPr>
        <w:t xml:space="preserve">. The aggregate number of Ordinary Shares that may be issued pursuant to the exercise of Incentive Stock Options granted under this Plan shall be equal to 9,299,832, which number shall be calculated and adjusted pursuant to </w:t>
      </w:r>
      <w:r>
        <w:rPr>
          <w:rFonts w:ascii="Times New Roman" w:hAnsi="Times New Roman"/>
          <w:sz w:val="20"/>
          <w:u w:val="single"/>
        </w:rPr>
        <w:t>Section 16</w:t>
      </w:r>
      <w:r>
        <w:rPr>
          <w:rFonts w:ascii="Times New Roman" w:hAnsi="Times New Roman"/>
          <w:sz w:val="20"/>
        </w:rPr>
        <w:t xml:space="preserve"> only to the extent that such calculation or adjustment will not affect the status of any Option intended to qualify as an Incentive Stock Option under Section 422 of the Code.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Limits on Non-Employee Director Compensation.</w:t>
      </w:r>
      <w:r>
        <w:rPr>
          <w:rFonts w:ascii="Times New Roman" w:hAnsi="Times New Roman"/>
          <w:sz w:val="20"/>
        </w:rPr>
        <w:t xml:space="preserve"> The aggregate dollar value of equity-based (based on the grant date Fair Market Value of equity-based Awards) and cash compensation granted under this Plan or otherwise to any non-employee director for service on the Board shall not exceed $1,000,000 during any calendar year.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6.</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Administration of the Plan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Administrator of the Plan</w:t>
      </w:r>
      <w:r>
        <w:rPr>
          <w:rFonts w:ascii="Times New Roman" w:hAnsi="Times New Roman"/>
          <w:sz w:val="20"/>
        </w:rPr>
        <w:t xml:space="preserve">. The Plan shall be administered by the Committee. The Board shall fill vacancies on, and from time to time may remove or add members to, the Committee. The Committee shall act pursuant to a majority vote or unanimous written consent. Any power of the Committee may also be exercised by the Board, except to the extent that the grant or exercise of such authority would cause any Award or transaction to become subject to (or lose an exemption under) the short-swing profit recovery provisions of Section 16 of the Act. To the extent that any permitted action taken by the Board conflicts with action taken by the Committee, the Board action shall control. To the maximum extent permissible under applicable law, the Committee (or any successor) may by resolution delegate any or all of its authority to one or more subcommittees composed of one or more directors and/or officers of the Company, and any such subcommittee shall be treated as the Committee for all purposes under this Plan. Notwithstanding the foregoing, if the Board or the Committee (or any successor) delegates to a subcommittee comprised of one or more officers of the Company the authority to grant Awards, no such subcommittee shall designate any officer serving thereon or any officer (within the meaning of Section 16 of the Act) or non-employee director of the Company as a recipient of any Awards granted under such delegated authority. The Committee hereby delegates to and designates the most senior officer in the Finance Department of the Company of the Company (or such other officer with similar authority), and to his or her delegates or designees, the authority to assist the Committee in the day-to-day administration of the Plan and of Awards granted under the Plan, including those powers set forth in </w:t>
      </w:r>
      <w:r>
        <w:rPr>
          <w:rFonts w:ascii="Times New Roman" w:hAnsi="Times New Roman"/>
          <w:sz w:val="20"/>
          <w:u w:val="single"/>
        </w:rPr>
        <w:t>Section 6(b)(v)</w:t>
      </w:r>
      <w:r>
        <w:rPr>
          <w:rFonts w:ascii="Times New Roman" w:hAnsi="Times New Roman"/>
          <w:sz w:val="20"/>
        </w:rPr>
        <w:t xml:space="preserve"> through </w:t>
      </w:r>
      <w:r>
        <w:rPr>
          <w:rFonts w:ascii="Times New Roman" w:hAnsi="Times New Roman"/>
          <w:sz w:val="20"/>
          <w:u w:val="single"/>
        </w:rPr>
        <w:t>(xi)</w:t>
      </w:r>
      <w:r>
        <w:rPr>
          <w:rFonts w:ascii="Times New Roman" w:hAnsi="Times New Roman"/>
          <w:sz w:val="20"/>
        </w:rPr>
        <w:t xml:space="preserve"> and to execute Award Agreements or other documents entered into under this Plan on behalf of the Committee or the Company. The Committee may further designate and delegate to one or more additional officers or employees of the Company or any Subsidiary, and/or one or more agents, authority to assist the Committee in any or all aspects of the day-to-day administration of the Plan and/or of Awards granted under the Plan.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Powers of Committee</w:t>
      </w:r>
      <w:r>
        <w:rPr>
          <w:rFonts w:ascii="Times New Roman" w:hAnsi="Times New Roman"/>
          <w:sz w:val="20"/>
        </w:rPr>
        <w:t xml:space="preserve">. Subject to the express provisions of this Plan, the Committee shall be authorized and empowered to do all things that it determines to be necessary or appropriate in connection with the administration of this Plan, including: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to prescribe, amend and rescind rules and regulations relating to this Plan and to define terms not otherwise defined herein; </w:t>
      </w:r>
    </w:p>
    <w:p>
      <w:pPr>
        <w:pStyle w:val="TextBody"/>
        <w:bidi w:val="0"/>
        <w:spacing w:before="120" w:after="0"/>
        <w:jc w:val="left"/>
        <w:rPr>
          <w:rFonts w:ascii="Times New Roman" w:hAnsi="Times New Roman"/>
          <w:sz w:val="20"/>
        </w:rPr>
      </w:pPr>
      <w:r>
        <w:rPr>
          <w:rFonts w:ascii="Times New Roman" w:hAnsi="Times New Roman"/>
          <w:sz w:val="20"/>
        </w:rPr>
        <w:t xml:space="preserve">(ii) to determine which Persons are Eligible Persons, to which of such Eligible Persons, if any, Awards shall be granted hereunder and the timing of any such Awards; </w:t>
      </w:r>
    </w:p>
    <w:p>
      <w:pPr>
        <w:pStyle w:val="TextBody"/>
        <w:bidi w:val="0"/>
        <w:spacing w:before="120" w:after="0"/>
        <w:jc w:val="left"/>
        <w:rPr>
          <w:rFonts w:ascii="Times New Roman" w:hAnsi="Times New Roman"/>
          <w:sz w:val="20"/>
        </w:rPr>
      </w:pPr>
      <w:r>
        <w:rPr>
          <w:rFonts w:ascii="Times New Roman" w:hAnsi="Times New Roman"/>
          <w:sz w:val="20"/>
        </w:rPr>
        <w:t xml:space="preserve">(iii) to prescribe and amend the terms of the Award Agreements, to grant Awards and determine the terms and conditions thereof; </w:t>
      </w:r>
    </w:p>
    <w:p>
      <w:pPr>
        <w:pStyle w:val="TextBody"/>
        <w:bidi w:val="0"/>
        <w:spacing w:before="120" w:after="0"/>
        <w:jc w:val="left"/>
        <w:rPr>
          <w:rFonts w:ascii="Times New Roman" w:hAnsi="Times New Roman"/>
          <w:sz w:val="20"/>
        </w:rPr>
      </w:pPr>
      <w:r>
        <w:rPr>
          <w:rFonts w:ascii="Times New Roman" w:hAnsi="Times New Roman"/>
          <w:sz w:val="20"/>
        </w:rPr>
        <w:t xml:space="preserve">(iv) to reduce the exercise price of a previously awarded Option or Stock Appreciation Right or cancel and re-grant or exchange such Option or Stock Appreciation Right for cash or a new Award with a lower (or no) exercise price, with any such determination made by the Committee in its sole discretion, in each case, without shareholder approval; </w:t>
      </w:r>
    </w:p>
    <w:p>
      <w:pPr>
        <w:pStyle w:val="TextBody"/>
        <w:bidi w:val="0"/>
        <w:spacing w:before="120" w:after="0"/>
        <w:jc w:val="left"/>
        <w:rPr>
          <w:rFonts w:ascii="Times New Roman" w:hAnsi="Times New Roman"/>
          <w:sz w:val="20"/>
        </w:rPr>
      </w:pPr>
      <w:r>
        <w:rPr>
          <w:rFonts w:ascii="Times New Roman" w:hAnsi="Times New Roman"/>
          <w:sz w:val="20"/>
        </w:rPr>
        <w:t xml:space="preserve">(v) to adopt such procedures and sub-plans as are necessary or appropriate (A) to permit or facilitate participation in this Plan by Eligible Persons who are not citizens of, or subject to taxation by, the United States or who are employed outside the United States or (B) to allow Awards to qualify for special tax treatment in a jurisdiction other than the United States; </w:t>
      </w:r>
      <w:r>
        <w:rPr>
          <w:rFonts w:ascii="Times New Roman" w:hAnsi="Times New Roman"/>
          <w:i/>
          <w:sz w:val="20"/>
        </w:rPr>
        <w:t>provided, however</w:t>
      </w:r>
      <w:r>
        <w:rPr>
          <w:rFonts w:ascii="Times New Roman" w:hAnsi="Times New Roman"/>
          <w:sz w:val="20"/>
        </w:rPr>
        <w:t xml:space="preserve">, that Board approval will not be necessary for immaterial modifications to this Plan or any Award Agreement that are required for compliance with the laws of the relevant jurisdiction; </w:t>
      </w:r>
    </w:p>
    <w:p>
      <w:pPr>
        <w:pStyle w:val="TextBody"/>
        <w:bidi w:val="0"/>
        <w:spacing w:before="120" w:after="0"/>
        <w:jc w:val="left"/>
        <w:rPr>
          <w:rFonts w:ascii="Times New Roman" w:hAnsi="Times New Roman"/>
          <w:sz w:val="20"/>
        </w:rPr>
      </w:pPr>
      <w:r>
        <w:rPr>
          <w:rFonts w:ascii="Times New Roman" w:hAnsi="Times New Roman"/>
          <w:sz w:val="20"/>
        </w:rPr>
        <w:t xml:space="preserve">(vi) to establish and verify the extent of satisfaction of any performance goals or other conditions applicable to the grant, issuance, retention, vesting, exercisability or settlement of any Award; </w:t>
      </w:r>
    </w:p>
    <w:p>
      <w:pPr>
        <w:pStyle w:val="TextBody"/>
        <w:bidi w:val="0"/>
        <w:spacing w:before="120" w:after="0"/>
        <w:jc w:val="left"/>
        <w:rPr>
          <w:rFonts w:ascii="Times New Roman" w:hAnsi="Times New Roman"/>
          <w:sz w:val="20"/>
        </w:rPr>
      </w:pPr>
      <w:r>
        <w:rPr>
          <w:rFonts w:ascii="Times New Roman" w:hAnsi="Times New Roman"/>
          <w:sz w:val="20"/>
        </w:rPr>
        <w:t xml:space="preserve">(vii) to prescribe and amend the terms of or form of any document or notice required to be delivered to the Company by Participants under this Plan; </w:t>
      </w:r>
    </w:p>
    <w:p>
      <w:pPr>
        <w:pStyle w:val="TextBody"/>
        <w:bidi w:val="0"/>
        <w:spacing w:before="120" w:after="0"/>
        <w:jc w:val="left"/>
        <w:rPr>
          <w:rFonts w:ascii="Times New Roman" w:hAnsi="Times New Roman"/>
          <w:sz w:val="20"/>
        </w:rPr>
      </w:pPr>
      <w:r>
        <w:rPr>
          <w:rFonts w:ascii="Times New Roman" w:hAnsi="Times New Roman"/>
          <w:sz w:val="20"/>
        </w:rPr>
        <w:t xml:space="preserve">(viii) to determine the extent to which adjustments are required pursuant to Section 16; </w:t>
      </w:r>
    </w:p>
    <w:p>
      <w:pPr>
        <w:pStyle w:val="TextBody"/>
        <w:bidi w:val="0"/>
        <w:spacing w:before="120" w:after="0"/>
        <w:jc w:val="left"/>
        <w:rPr>
          <w:rFonts w:ascii="Times New Roman" w:hAnsi="Times New Roman"/>
          <w:sz w:val="20"/>
        </w:rPr>
      </w:pPr>
      <w:r>
        <w:rPr>
          <w:rFonts w:ascii="Times New Roman" w:hAnsi="Times New Roman"/>
          <w:sz w:val="20"/>
        </w:rPr>
        <w:t xml:space="preserve">(ix) to interpret and construe this Plan, any rules and regulations under this Plan and the terms and conditions of any Award granted hereunder, and to make exceptions to any such provisions if the Committee, in good faith, determines that it is appropriate to do so; </w:t>
      </w:r>
    </w:p>
    <w:p>
      <w:pPr>
        <w:pStyle w:val="TextBody"/>
        <w:bidi w:val="0"/>
        <w:spacing w:before="120" w:after="0"/>
        <w:jc w:val="left"/>
        <w:rPr>
          <w:rFonts w:ascii="Times New Roman" w:hAnsi="Times New Roman"/>
          <w:sz w:val="20"/>
        </w:rPr>
      </w:pPr>
      <w:r>
        <w:rPr>
          <w:rFonts w:ascii="Times New Roman" w:hAnsi="Times New Roman"/>
          <w:sz w:val="20"/>
        </w:rPr>
        <w:t xml:space="preserve">(x) to approve corrections in the documentation or administration of any Award; and </w:t>
      </w:r>
    </w:p>
    <w:p>
      <w:pPr>
        <w:pStyle w:val="TextBody"/>
        <w:bidi w:val="0"/>
        <w:spacing w:before="120" w:after="0"/>
        <w:jc w:val="left"/>
        <w:rPr>
          <w:rFonts w:ascii="Times New Roman" w:hAnsi="Times New Roman"/>
          <w:sz w:val="20"/>
        </w:rPr>
      </w:pPr>
      <w:r>
        <w:rPr>
          <w:rFonts w:ascii="Times New Roman" w:hAnsi="Times New Roman"/>
          <w:sz w:val="20"/>
        </w:rPr>
        <w:t xml:space="preserve">(xi) to make all other determinations deemed necessary or advisable for the administration of this Plan.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in this Plan to the contrary, with respect to any Award that is “deferred compensation” under Section 409A of the Code, the Committee shall exercise its discretion in a manner that causes such Awards to be compliant with or exempt from the requirements of Section 409A of the Code. Without limiting the foregoing, unless expressly agreed to in writing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Participant holding such Award, the Committee shall not take any action with respect to any Award which constitutes (x) a modification of a stock right within the meaning of Treas. Reg. § 1.409A-1(b)(5)(v)(B) so as to constitute the grant of a new stock right, (y) an extension of a stock right, including the addition of a feature for the deferral of compensation within the meaning of Treas. Reg. § 1.409A-1 (b)(5)(v)(C), or (z) an impermissible acceleration of a payment date or a subsequent deferral of a stock right subject to Section 409A of the Code within the meaning of Treas. Reg. § 1.409A-1(b)(5)(v)(E). </w:t>
      </w:r>
    </w:p>
    <w:p>
      <w:pPr>
        <w:pStyle w:val="TextBody"/>
        <w:bidi w:val="0"/>
        <w:spacing w:before="240" w:after="0"/>
        <w:jc w:val="left"/>
        <w:rPr>
          <w:rFonts w:ascii="Times New Roman" w:hAnsi="Times New Roman"/>
          <w:sz w:val="20"/>
        </w:rPr>
      </w:pPr>
      <w:r>
        <w:rPr>
          <w:rFonts w:ascii="Times New Roman" w:hAnsi="Times New Roman"/>
          <w:sz w:val="20"/>
        </w:rPr>
        <w:t xml:space="preserve">The Committee may, in its sole and absolute discretion, without amendment to the Plan but subject to the limitations otherwise set forth in </w:t>
      </w:r>
      <w:r>
        <w:rPr>
          <w:rFonts w:ascii="Times New Roman" w:hAnsi="Times New Roman"/>
          <w:sz w:val="20"/>
          <w:u w:val="single"/>
        </w:rPr>
        <w:t>Section 20</w:t>
      </w:r>
      <w:r>
        <w:rPr>
          <w:rFonts w:ascii="Times New Roman" w:hAnsi="Times New Roman"/>
          <w:sz w:val="20"/>
        </w:rPr>
        <w:t xml:space="preserve">, waive or amend the operation of Plan provisions respecting exercise after Termination of Employment. The Committee or any member thereof may, in its sole and absolute discretion, except as otherwise provided in </w:t>
      </w:r>
      <w:r>
        <w:rPr>
          <w:rFonts w:ascii="Times New Roman" w:hAnsi="Times New Roman"/>
          <w:sz w:val="20"/>
          <w:u w:val="single"/>
        </w:rPr>
        <w:t>Section 20</w:t>
      </w:r>
      <w:r>
        <w:rPr>
          <w:rFonts w:ascii="Times New Roman" w:hAnsi="Times New Roman"/>
          <w:sz w:val="20"/>
        </w:rPr>
        <w:t xml:space="preserve">, waive, settle or adjust any of the terms of any Award so as to avoid unanticipated consequences or address unanticipated events (including any temporary closure of an applicable stock exchange, disruption of communications or natural catastrophe).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Determinations by the Committee</w:t>
      </w:r>
      <w:r>
        <w:rPr>
          <w:rFonts w:ascii="Times New Roman" w:hAnsi="Times New Roman"/>
          <w:sz w:val="20"/>
        </w:rPr>
        <w:t xml:space="preserve">. All decisions, determinations and interpretations by the Committee regarding the Plan, any rules and regulations under the Plan, and the terms and conditions of, or operation of, any Award granted hereunder, shall be final and binding on all Participants, beneficiaries, heirs, assigns or other persons holding or claiming rights under the Plan or any Award. The Committee shall consider such factors as it deems relevant, in its sole and absolute discretion, to making such decisions, determinations and interpretations, including the recommendations or advice of any officer or other employee of the Company and such attorneys, consultants and accountants as it may select. Members of the Board and members of the Committee acting under the Plan shall be fully protected in relying in good faith upon the advice of counsel and shall incur no liability except for as a result of gross negligence or willful misconduct in the performance of their duties.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Subsidiary Awards</w:t>
      </w:r>
      <w:r>
        <w:rPr>
          <w:rFonts w:ascii="Times New Roman" w:hAnsi="Times New Roman"/>
          <w:sz w:val="20"/>
        </w:rPr>
        <w:t xml:space="preserve">. In the case of a grant of an Award to any Participant employed by a Subsidiary, such grant may, if the Committee so directs, be implemented by the Company issuing any subject Ordinary Shares to the Subsidiary, for such lawful consideration as the Committee may determine, upon the condition or understanding that the Subsidiary will transfer the Ordinary Shares to the Participant in accordance with the terms of the Award specified by the Committee pursuant to the provisions of the Plan. Notwithstanding any other provision hereof, such Award may be issued by and in the name of the Subsidiary and shall be deemed granted on such date as the Committee shall determine.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7.</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Plan Awards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Terms Set Forth in Award Agreement</w:t>
      </w:r>
      <w:r>
        <w:rPr>
          <w:rFonts w:ascii="Times New Roman" w:hAnsi="Times New Roman"/>
          <w:sz w:val="20"/>
        </w:rPr>
        <w:t xml:space="preserve">. Awards may be granted to Eligible Persons as determined by the Committee at any time and from time to time prior to the termination of the Plan. The terms and conditions of each Award shall be set forth in an Award Agreement in a form approved by the Committee for such Award, subject to and incorporating by reference or otherwise the applicable terms and conditions of the Plan, which Award Agreement may contain such terms and conditions as specified from time to time by the Committee, provided such other terms and conditions do not conflict with the Plan. The Award Agreement for any Award (other than Restricted Stock Awards) shall include the time or times at or within which and the consideration, if any, for which any Ordinary Shares or cash, as applicable, may be acquired from the Company. The terms of Awards may vary among Participants, and the Plan does not impose upon the Committee any requirement to make Awards subject to uniform terms. Accordingly, the terms of individual Award Agreements may vary.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Termination of Employment</w:t>
      </w:r>
      <w:r>
        <w:rPr>
          <w:rFonts w:ascii="Times New Roman" w:hAnsi="Times New Roman"/>
          <w:sz w:val="20"/>
        </w:rPr>
        <w:t xml:space="preserve">. Subject to the express provisions of the Plan, the Committee shall specify before, at, or after the time of grant of an Award the provisions governing the effect(s) upon an Award of a Participant’s Termination of Employment.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Rights of a Shareholder</w:t>
      </w:r>
      <w:r>
        <w:rPr>
          <w:rFonts w:ascii="Times New Roman" w:hAnsi="Times New Roman"/>
          <w:sz w:val="20"/>
        </w:rPr>
        <w:t xml:space="preserve">. A Participant shall have no rights as a shareholder with respect to Ordinary Shares covered by an Award (including voting rights) until the date the Participant’s name is entered in the register of members of the Company as the holder of such Ordinary Shares. No adjustment shall be made for dividends or other rights for which the record date is prior to such date, except as provided in </w:t>
      </w:r>
      <w:r>
        <w:rPr>
          <w:rFonts w:ascii="Times New Roman" w:hAnsi="Times New Roman"/>
          <w:sz w:val="20"/>
          <w:u w:val="single"/>
        </w:rPr>
        <w:t>Sections 10(b)</w:t>
      </w:r>
      <w:r>
        <w:rPr>
          <w:rFonts w:ascii="Times New Roman" w:hAnsi="Times New Roman"/>
          <w:sz w:val="20"/>
        </w:rPr>
        <w:t xml:space="preserve">, </w:t>
      </w:r>
      <w:r>
        <w:rPr>
          <w:rFonts w:ascii="Times New Roman" w:hAnsi="Times New Roman"/>
          <w:sz w:val="20"/>
          <w:u w:val="single"/>
        </w:rPr>
        <w:t>11(b)</w:t>
      </w:r>
      <w:r>
        <w:rPr>
          <w:rFonts w:ascii="Times New Roman" w:hAnsi="Times New Roman"/>
          <w:sz w:val="20"/>
        </w:rPr>
        <w:t xml:space="preserve"> or </w:t>
      </w:r>
      <w:r>
        <w:rPr>
          <w:rFonts w:ascii="Times New Roman" w:hAnsi="Times New Roman"/>
          <w:sz w:val="20"/>
          <w:u w:val="single"/>
        </w:rPr>
        <w:t>16</w:t>
      </w:r>
      <w:r>
        <w:rPr>
          <w:rFonts w:ascii="Times New Roman" w:hAnsi="Times New Roman"/>
          <w:sz w:val="20"/>
        </w:rPr>
        <w:t xml:space="preserve"> of this Plan or as otherwise provided by the Committee.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No Fractional Shares</w:t>
      </w:r>
      <w:r>
        <w:rPr>
          <w:rFonts w:ascii="Times New Roman" w:hAnsi="Times New Roman"/>
          <w:sz w:val="20"/>
        </w:rPr>
        <w:t xml:space="preserve">. No fractional Ordinary Shares shall be issued pursuant to an Award or in settlement thereof.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8.</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Options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Grant, Term and Price</w:t>
      </w:r>
      <w:r>
        <w:rPr>
          <w:rFonts w:ascii="Times New Roman" w:hAnsi="Times New Roman"/>
          <w:sz w:val="20"/>
        </w:rPr>
        <w:t xml:space="preserve">. The grant, issuance, retention, vesting and/or settlement of any Option shall occur at such time and be subject to such terms and conditions as determined by the Committee or under criteria established by the Committee, which may include conditions based on continued employment or engagement, passage of time, attainment of age and/or service requirements, and/or satisfaction of performance conditions. The term of an Option shall in no event be greater than 10 years; </w:t>
      </w:r>
      <w:r>
        <w:rPr>
          <w:rFonts w:ascii="Times New Roman" w:hAnsi="Times New Roman"/>
          <w:i/>
          <w:sz w:val="20"/>
        </w:rPr>
        <w:t>provided, however</w:t>
      </w:r>
      <w:r>
        <w:rPr>
          <w:rFonts w:ascii="Times New Roman" w:hAnsi="Times New Roman"/>
          <w:sz w:val="20"/>
        </w:rPr>
        <w:t xml:space="preserve">, the term of an Option (other than an Incentive Stock Option) shall be automatically extended if, at the time of its scheduled expiration, the Participant holding such Option is prohibited by law or the Company’s insider trading policy from exercising the Option, which extension shall expire on the 30th day following the date such prohibition no longer applies. The Committee will establish the price at which Ordinary Shares may be purchased upon exercise of an Option, which in no event will be less than the Fair Market Value of such shares on the date of grant; </w:t>
      </w:r>
      <w:r>
        <w:rPr>
          <w:rFonts w:ascii="Times New Roman" w:hAnsi="Times New Roman"/>
          <w:i/>
          <w:sz w:val="20"/>
        </w:rPr>
        <w:t>provided, however</w:t>
      </w:r>
      <w:r>
        <w:rPr>
          <w:rFonts w:ascii="Times New Roman" w:hAnsi="Times New Roman"/>
          <w:sz w:val="20"/>
        </w:rPr>
        <w:t xml:space="preserve">, that the exercise price per Ordinary Share with respect to an Option that is granted as a Substitute Award may be less than the Fair Market Value of the Ordinary Shares on the date such Option is granted if such exercise price is based on a formula set forth in the terms of the options held by such optionees or in the terms of the agreement providing for such merger or other acquisition that satisfies the requirements of (i) Section 409A of the Code, if such options held by such optionees are not intended to qualify as “incentive stock options” within the meaning of Section 422 of the Code, and (ii) Section 424(a) of the Code, if such options held by such optionees are intended to qualify as “incentive stock options” within the meaning of Section 422 of the Code. The exercise price of any Option may be paid in cash to the Company or such other method as determined by the Committee, including an irrevocable commitment by a broker to pay over such amount from a sale of the Ordinary Shares issuable under an Option, the delivery of previously owned Ordinary Shares or withholding of Ordinary Shares otherwise deliverable upon exercise.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 Reload Grants</w:t>
      </w:r>
      <w:r>
        <w:rPr>
          <w:rFonts w:ascii="Times New Roman" w:hAnsi="Times New Roman"/>
          <w:sz w:val="20"/>
        </w:rPr>
        <w:t xml:space="preserve">. Options shall not be granted under the Plan in consideration for, and shall not be conditioned upon the delivery of, Ordinary Shares to the Company in payment of the exercise price and/or tax withholding obligation under any other employee stock option.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Incentive Stock Options</w:t>
      </w:r>
      <w:r>
        <w:rPr>
          <w:rFonts w:ascii="Times New Roman" w:hAnsi="Times New Roman"/>
          <w:sz w:val="20"/>
        </w:rPr>
        <w:t xml:space="preserve">. Notwithstanding anything to the contrary in this </w:t>
      </w:r>
      <w:r>
        <w:rPr>
          <w:rFonts w:ascii="Times New Roman" w:hAnsi="Times New Roman"/>
          <w:sz w:val="20"/>
          <w:u w:val="single"/>
        </w:rPr>
        <w:t>Section 8</w:t>
      </w:r>
      <w:r>
        <w:rPr>
          <w:rFonts w:ascii="Times New Roman" w:hAnsi="Times New Roman"/>
          <w:sz w:val="20"/>
        </w:rPr>
        <w:t xml:space="preserve">, in the case of the grant of an Incentive Stock Option, if the Participant owns shares possessing more than 10% of the combined voting power of all classes of shares of the Company, the exercise price of such Option must be at least 110% of the Fair Market Value of the Ordinary Shares on the date of grant and the Option must expire within a period of not more than five years from the date of grant. Notwithstanding anything in this </w:t>
      </w:r>
      <w:r>
        <w:rPr>
          <w:rFonts w:ascii="Times New Roman" w:hAnsi="Times New Roman"/>
          <w:sz w:val="20"/>
          <w:u w:val="single"/>
        </w:rPr>
        <w:t>Section 8</w:t>
      </w:r>
      <w:r>
        <w:rPr>
          <w:rFonts w:ascii="Times New Roman" w:hAnsi="Times New Roman"/>
          <w:sz w:val="20"/>
        </w:rPr>
        <w:t xml:space="preserve"> to the contrary, Options designated as Incentive Stock Options shall not be eligible for treatment under the Code as Incentive Stock Options (and will be deemed to be Nonqualified Stock Options) to the extent that either (i) the aggregate Fair Market Value of Ordinary Shares (determined as of the time of grant) with respect to which such Options are exercisable for the first time by the Participant during any calendar year (under all plans of the Company and any Subsidiary) exceeds $100,000, taking Options into account in the order in which they were granted, or (ii) such Options otherwise remain exercisable but are not exercised within three months (or such other period of time provided in Section 422 of the Code) of separation of service (as determined in accordance with Section 3401(c) of the Code and the regulations promulgated thereunder).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No Shareholder Rights</w:t>
      </w:r>
      <w:r>
        <w:rPr>
          <w:rFonts w:ascii="Times New Roman" w:hAnsi="Times New Roman"/>
          <w:sz w:val="20"/>
        </w:rPr>
        <w:t xml:space="preserve">. Participants shall have no voting rights and will have no rights to receive dividends or Dividend Equivalents in respect of an Option or any Ordinary Shares subject to an Option until the Participant’s name has been entered in the register of members of the Company as the holder of such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9.</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Stock Appreciation Rights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 Terms</w:t>
      </w:r>
      <w:r>
        <w:rPr>
          <w:rFonts w:ascii="Times New Roman" w:hAnsi="Times New Roman"/>
          <w:sz w:val="20"/>
        </w:rPr>
        <w:t xml:space="preserve">. The grant, issuance, retention, vesting and/or settlement of any Stock Appreciation Right shall occur at such time and be subject to such terms and conditions as determined by the Committee or under criteria established by the Committee, which may include conditions based on continued employment or engagement, passage of time, attainment of age and/or service requirements, and/or satisfaction of performance conditions. The term of a Stock Appreciation Right shall in no event be greater than 10 years; </w:t>
      </w:r>
      <w:r>
        <w:rPr>
          <w:rFonts w:ascii="Times New Roman" w:hAnsi="Times New Roman"/>
          <w:i/>
          <w:sz w:val="20"/>
        </w:rPr>
        <w:t>provided, however</w:t>
      </w:r>
      <w:r>
        <w:rPr>
          <w:rFonts w:ascii="Times New Roman" w:hAnsi="Times New Roman"/>
          <w:sz w:val="20"/>
        </w:rPr>
        <w:t>, the term of a Stock Appreciation Right shall be automatically extended if, at the time of its scheduled expiration, the Participant holding such Stock Appreciation Right is prohibited by law or the Company’s insider trading policy from exercising the Stock Appreciation Right which extension shall expire on the 30th day following the date such prohibition no longer applies. Stock Appreciation Rights may be granted to Participants from time to time either in tandem with or as a component of Options granted under the Plan (“</w:t>
      </w:r>
      <w:r>
        <w:rPr>
          <w:rFonts w:ascii="Times New Roman" w:hAnsi="Times New Roman"/>
          <w:b/>
          <w:i/>
          <w:sz w:val="20"/>
        </w:rPr>
        <w:t>tandem SARs</w:t>
      </w:r>
      <w:r>
        <w:rPr>
          <w:rFonts w:ascii="Times New Roman" w:hAnsi="Times New Roman"/>
          <w:sz w:val="20"/>
        </w:rPr>
        <w:t>”) or not in conjunction with other Awards (“</w:t>
      </w:r>
      <w:r>
        <w:rPr>
          <w:rFonts w:ascii="Times New Roman" w:hAnsi="Times New Roman"/>
          <w:b/>
          <w:i/>
          <w:sz w:val="20"/>
        </w:rPr>
        <w:t>freestanding SARs</w:t>
      </w:r>
      <w:r>
        <w:rPr>
          <w:rFonts w:ascii="Times New Roman" w:hAnsi="Times New Roman"/>
          <w:sz w:val="20"/>
        </w:rPr>
        <w:t xml:space="preserve">”). Upon exercise of a tandem SAR as to some or all of the shares covered by the grant, the related Option shall be canceled automatically to the extent of the number of shares covered by such exercise. Conversely, if the related Option is exercised as to some or all of the shares covered by the grant, the related tandem SAR, if any, shall be canceled automatically to the extent of the number of shares covered by the Option exercise. Any Stock Appreciation Right granted in tandem with an Option may be granted at the same time such Option is granted or at any time thereafter before exercise or expiration of such Option, provided that the Fair Market Value of Ordinary Shares on the date of the SAR’s grant is not greater than the exercise price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related Option. All freestanding SARs shall be granted subject to the same terms and conditions applicable to Options as set forth in </w:t>
      </w:r>
      <w:r>
        <w:rPr>
          <w:rFonts w:ascii="Times New Roman" w:hAnsi="Times New Roman"/>
          <w:sz w:val="20"/>
          <w:u w:val="single"/>
        </w:rPr>
        <w:t>Section 8</w:t>
      </w:r>
      <w:r>
        <w:rPr>
          <w:rFonts w:ascii="Times New Roman" w:hAnsi="Times New Roman"/>
          <w:sz w:val="20"/>
        </w:rPr>
        <w:t xml:space="preserve"> and all tandem SARs shall have the same exercise price as the Option to which they relate. Subject to the provisions of </w:t>
      </w:r>
      <w:r>
        <w:rPr>
          <w:rFonts w:ascii="Times New Roman" w:hAnsi="Times New Roman"/>
          <w:sz w:val="20"/>
          <w:u w:val="single"/>
        </w:rPr>
        <w:t>Section 8</w:t>
      </w:r>
      <w:r>
        <w:rPr>
          <w:rFonts w:ascii="Times New Roman" w:hAnsi="Times New Roman"/>
          <w:sz w:val="20"/>
        </w:rPr>
        <w:t xml:space="preserve"> and the immediately preceding sentence, the Committee may impose such other conditions or restrictions on any Stock Appreciation Right as it shall deem appropriate. Stock Appreciation Rights may be settled in Ordinary Shares, cash, Restricted Stock or a combination thereof, as determined by the Committee and set forth in the applicable Award Agreement.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 Shareholder Rights</w:t>
      </w:r>
      <w:r>
        <w:rPr>
          <w:rFonts w:ascii="Times New Roman" w:hAnsi="Times New Roman"/>
          <w:sz w:val="20"/>
        </w:rPr>
        <w:t xml:space="preserve">. Participants shall have no voting rights and will have no rights to receive dividends or Dividend Equivalents in respect of an Award of Stock Appreciation Rights or any Ordinary Shares subject to an Award of Stock Appreciation Rights until the Participant’s name has been entered in the register of members of the Company as the holder of such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10.</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Restricted Stock and Restricted Stock Units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Vesting and Performance Criteria</w:t>
      </w:r>
      <w:r>
        <w:rPr>
          <w:rFonts w:ascii="Times New Roman" w:hAnsi="Times New Roman"/>
          <w:sz w:val="20"/>
        </w:rPr>
        <w:t xml:space="preserve">. The grant, issuance, vesting and/or settlement of any Award of Restricted Stock or Restricted Stock Units shall occur at such time and be subject to such terms and conditions as determined by the Committee or under criteria established by the Committee, which may include conditions based on continued employment or engagement, passage of time, attainment of age and/or service requirements, and/or satisfaction of performance conditions. In addition, the Committee shall have the right to grant Restricted Stock or Restricted Stock Unit Awards as the form of payment for grants or rights earned or due under other shareholder-approved compensation plans or arrangements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Dividends and Distributions</w:t>
      </w:r>
      <w:r>
        <w:rPr>
          <w:rFonts w:ascii="Times New Roman" w:hAnsi="Times New Roman"/>
          <w:sz w:val="20"/>
        </w:rPr>
        <w:t xml:space="preserve">. Participants in whose name Restricted Stock is granted shall be entitled to receive all dividends and other distributions paid with respect to those Ordinary Shares, unless determined otherwise by the Committee. The Committee will determine whether any such dividends or distributions will be automatically reinvested in additional shares of Restricted Stock and/or subject to the same restrictions on transferability as the Restricted Stock with respect to which they were distributed or whether such dividends or distributions will be paid in cash. Shares underlying Restricted Stock Units shall be entitled to dividends or distributions only to the extent provided by the Committee.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Stock-Based Awards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General Terms. </w:t>
      </w:r>
      <w:r>
        <w:rPr>
          <w:rFonts w:ascii="Times New Roman" w:hAnsi="Times New Roman"/>
          <w:sz w:val="20"/>
        </w:rPr>
        <w:t xml:space="preserve">The Committee is authorized, subject to limitations under applicable law, to grant to Eligible Persons such other Awards that may be denominated or payable in, valued in whole or in part by reference to, or otherwise based on, or related to, Ordinary Shares, as deemed by the Committee to be consistent with the purposes of the Plan. The Committee shall determine the terms and conditions of such Other Stock-Based Awards. Ordinary Shares delivered pursuant to an Other Stock-Based Award in the nature of a purchase right granted under this </w:t>
      </w:r>
      <w:r>
        <w:rPr>
          <w:rFonts w:ascii="Times New Roman" w:hAnsi="Times New Roman"/>
          <w:sz w:val="20"/>
          <w:u w:val="single"/>
        </w:rPr>
        <w:t>Section 11</w:t>
      </w:r>
      <w:r>
        <w:rPr>
          <w:rFonts w:ascii="Times New Roman" w:hAnsi="Times New Roman"/>
          <w:sz w:val="20"/>
        </w:rPr>
        <w:t xml:space="preserve"> shall be purchased for such consideration, paid for at such times, by such methods, and in such forms, including cash, Ordinary Shares, other Awards, or other property, as the Committee shall determine.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Dividends and Distributions</w:t>
      </w:r>
      <w:r>
        <w:rPr>
          <w:rFonts w:ascii="Times New Roman" w:hAnsi="Times New Roman"/>
          <w:sz w:val="20"/>
        </w:rPr>
        <w:t xml:space="preserve">. Shares underlying Other Stock-Based Awards shall be entitled to dividends or distributions only to the extent provided by the Committee.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12.</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Incentive Bonuses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Vesting Criteria</w:t>
      </w:r>
      <w:r>
        <w:rPr>
          <w:rFonts w:ascii="Times New Roman" w:hAnsi="Times New Roman"/>
          <w:sz w:val="20"/>
        </w:rPr>
        <w:t xml:space="preserve">. The Committee shall establish the vesting conditions applicable to an Incentive Bonus, including any performance criteria and level of achievement versus such criteria that may determine the amount payable under an Incentive Bonus, which may include a target, threshold and/or maximum amount payable and any formula for determining such achievement.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Timing and Form of Payment</w:t>
      </w:r>
      <w:r>
        <w:rPr>
          <w:rFonts w:ascii="Times New Roman" w:hAnsi="Times New Roman"/>
          <w:sz w:val="20"/>
        </w:rPr>
        <w:t xml:space="preserve">. The Committee shall determine the timing of payment of any Incentive Bonus. Payment of the amount due under an Incentive Bonus may be made in cash or in Ordinary Shares, as determined by the Committee.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Discretionary Adjustments</w:t>
      </w:r>
      <w:r>
        <w:rPr>
          <w:rFonts w:ascii="Times New Roman" w:hAnsi="Times New Roman"/>
          <w:sz w:val="20"/>
        </w:rPr>
        <w:t xml:space="preserve">. Notwithstanding satisfaction of any performance goals, the amount paid under an Incentive Bonus on may be adjusted by the Committee on the basis of such further considerations as the Committee shall determine.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Performance Awards </w:t>
            </w:r>
          </w:p>
        </w:tc>
      </w:tr>
    </w:tbl>
    <w:p>
      <w:pPr>
        <w:pStyle w:val="TextBody"/>
        <w:bidi w:val="0"/>
        <w:spacing w:before="120" w:after="0"/>
        <w:jc w:val="left"/>
        <w:rPr>
          <w:rFonts w:ascii="Times New Roman" w:hAnsi="Times New Roman"/>
          <w:sz w:val="20"/>
        </w:rPr>
      </w:pPr>
      <w:r>
        <w:rPr>
          <w:rFonts w:ascii="Times New Roman" w:hAnsi="Times New Roman"/>
          <w:sz w:val="20"/>
        </w:rPr>
        <w:t>The Committee may establish performance criteria and level of achievement versus such criteria that shall determine the number of Ordinary Shares, Restricted Stock Units, Other Stock-Based Awards or cash to be granted, retained, vested, issued or issuable under or in settlement of or the amount payable pursuant to an Award (any such Award, a “</w:t>
      </w:r>
      <w:r>
        <w:rPr>
          <w:rFonts w:ascii="Times New Roman" w:hAnsi="Times New Roman"/>
          <w:b/>
          <w:i/>
          <w:sz w:val="20"/>
        </w:rPr>
        <w:t>Performance Award</w:t>
      </w:r>
      <w:r>
        <w:rPr>
          <w:rFonts w:ascii="Times New Roman" w:hAnsi="Times New Roman"/>
          <w:sz w:val="20"/>
        </w:rPr>
        <w:t xml:space="preserve">”). A Performance Award may be identified as “Performance Share,” “Performance Equity,” “Performance Unit” or other such term as chosen by the Committee.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Deferral of Payment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Committee may, in an Award Agreement or otherwise, provide for the deferred delivery of Ordinary Shares or cash upon settlement, vesting or other events with respect to Restricted Stock Units, Other Stock-Based Awards or in payment or satisfaction of an Incentive Bonus. Notwithstanding anything herein to the contrary, in no event will any election to defer the delivery of Ordinary Shares or any other payment with respect to any Award be allowed if the Committee determines, in its sole discretion, that the deferral would result in the imposition of the additional tax under Section 409A(a)(1)(B) of the Code. No Award shall provide for deferral of compensation that does not comply with Section 409A of the Code. The Company, any Subsidiary or Affiliate which is in existence or hereafter comes into existence, the Board and the Committee shall have no liability to a Participant, or any other party, if an Award that is intended to be exempt from, or compliant with, Section 409A of the Code is not so exempt or compliant or for any action taken by the Board or the Committee in respect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15.</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Conditions and Restrictions Upon Securities Subject to Awards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Committee may provide that the Ordinary Shares issued upon exercise of an Option or Stock Appreciation Right or otherwise subject to or issued under an Award shall be subject to such further agreements, restrictions, conditions or limitations as the Committee in its discretion may specify prior to the exercise of such Option or Stock Appreciation Right or the grant, vesting or settlement of such Award, including conditions on vesting or transferability, forfeiture or repurchase provisions and method of payment for the Ordinary Shares issued upon exercise, vesting or settlement of such Award (including the actual or constructive surrender of Ordinary Shares already owned by the Participant) or payment of taxes arising in connection with an Award. Without limiting the foregoing, such restrictions may address the timing and manner of any resales by the Participant or other subsequent transfers by the Participant of any Ordinary Shares issued under an Award, including (a) restrictions under an insider trading policy or pursuant to applicable law, (b) restrictions designed to delay and/or coordinate the timing and manner of sales by the Participant and holders of other Company equity compensation arrangements, (c) restrictions as to the use of a specified brokerage firm for such resales or other transfers and (d) provisions requiring Ordinary Shares be sold on the open market or to the Company in order to satisfy tax withholding or other obligations.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Adjustment of and Changes in the Shares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The number and kind of Ordinary Shares available for issuance under this Plan (including under any Awards then outstanding), and the number and kind of Ordinary Shares subject to the limits set forth in </w:t>
      </w:r>
      <w:r>
        <w:rPr>
          <w:rFonts w:ascii="Times New Roman" w:hAnsi="Times New Roman"/>
          <w:sz w:val="20"/>
          <w:u w:val="single"/>
        </w:rPr>
        <w:t>Section 5</w:t>
      </w:r>
      <w:r>
        <w:rPr>
          <w:rFonts w:ascii="Times New Roman" w:hAnsi="Times New Roman"/>
          <w:sz w:val="20"/>
        </w:rPr>
        <w:t xml:space="preserve">, shall be equitably adjusted by the Committee to reflect any reorganization, reclassification, combination of shares, share split, reverse share split, spin-off, dividend or distribution of securities, property or cash (other than regular, quarterly cash dividends), or any other event or transaction that affects the number or kind of shares of Outstanding Ordinary Shares. Such adjustment may be designed to comply with Section 424 of the Code or may be designed to treat the Ordinary Shares available under the Plan and subject to Awards as if they were all outstanding on the record date for such event or transaction or to increase the number of such Ordinary Shares to reflect a deemed reinvestment in Ordinary Shares of the amount distributed to the Company’s securityholders. The terms of any outstanding Award shall also be equitably adjusted by the Committee as to price, number or kind of Ordinary Shares subject to such Award, vesting, performance criteria, and other terms to reflect the foregoing events, which adjustments need not be uniform as between different Awards or different types of Awards. No fractional Ordinary Shares shall be issued or issuable pursuant to such an adjustment. </w:t>
      </w:r>
    </w:p>
    <w:p>
      <w:pPr>
        <w:pStyle w:val="TextBody"/>
        <w:bidi w:val="0"/>
        <w:spacing w:before="120" w:after="0"/>
        <w:jc w:val="left"/>
        <w:rPr>
          <w:rFonts w:ascii="Times New Roman" w:hAnsi="Times New Roman"/>
          <w:sz w:val="20"/>
        </w:rPr>
      </w:pPr>
      <w:r>
        <w:rPr>
          <w:rFonts w:ascii="Times New Roman" w:hAnsi="Times New Roman"/>
          <w:sz w:val="20"/>
        </w:rPr>
        <w:t xml:space="preserve">(b) In the event there shall be any other change in the number or kind of outstanding Ordinary Shares, or any shares or other securities into which such Ordinary Shares shall have been changed, or for which they shall have been exchanged, by reason of a Change in Control, other merger, consolidation or otherwise, then the Committee shall determine the appropriate and equitable adjustment to be effected, which adjustments need not be uniform between different Awards or different types of Awards. In addition, in the event of such change described in this paragraph, the Committee may accelerate the time or times at which any Award may be exercised, consistent with and as otherwise permitted under Section 409A of the Code, and may provide for cancellation of such accelerated Awards that are not exercised within a time prescribed by the Committee in its sole discretion. </w:t>
      </w:r>
    </w:p>
    <w:p>
      <w:pPr>
        <w:pStyle w:val="TextBody"/>
        <w:bidi w:val="0"/>
        <w:spacing w:before="120" w:after="0"/>
        <w:jc w:val="left"/>
        <w:rPr>
          <w:rFonts w:ascii="Times New Roman" w:hAnsi="Times New Roman"/>
          <w:sz w:val="20"/>
        </w:rPr>
      </w:pPr>
      <w:r>
        <w:rPr>
          <w:rFonts w:ascii="Times New Roman" w:hAnsi="Times New Roman"/>
          <w:sz w:val="20"/>
        </w:rPr>
        <w:t xml:space="preserve">(c) In the event of a Change in Control, the Committee, acting in its sole discretion without the consent or approval of any Participant, may take one or more of the following actions, which may vary among individual Participants and/or among Awards held by any individual Participant: (i) arrange for the assumption of an outstanding Award by the successor or acquiring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entity (if any) of such Change in Control (or by its parents, if any), which assumption will be binding on all selected Participants; provided that the exercise price and the number and nature of shares issuable upon exercise of any such Option or Stock Appreciation Right, or any Award that is subject to Section 409A of the Code, will be adjusted appropriately pursuant to Section 424(a) of the Code; (ii) provide for the issuance of substitute awards by the successor or acquiring entity (if any) of such Change in Control (or by its parents, if any) that will substantially preserve the otherwise applicable terms of the outstanding Award as determined by the Committee in its sole discretion; (iii) accelerate vesting or waive any forfeiture conditions; (iv) accelerate the time of exercisability of an Award so that such Award may be exercised in full or in part for a limited period of time on or before a date specified by the Committee, after which specified date all unexercised Awards and all rights of Participants thereunder shall terminate; or (v) make such other adjustments to Awards then outstanding as the Committee deems appropriate to reflect such Change in Control. Notwithstanding anything herein to the contrary, in the event of a Change in Control in which the acquiring or surviving company in the transaction does not assume or continue outstanding Awards or issue substitute awards upon the Change in Control, unless determined otherwise by the Committee, immediately prior to the Change in Control, all Awards that are not assumed, continued or substituted for shall be treated as follows effective immediately prior to the Change in Control: (A) in the case of an Option or Stock Appreciation Right, the Participant shall have the ability to exercise such Option or Stock Appreciation Right, including any portion of the Option or Stock Appreciation Right not previously exercisable, (B) in the case of any Award the vesting of which is in whole or in part subject to performance criteria or an Incentive Bonus, all conditions to the grant, issuance, retention, vesting or transferability of, or any other restrictions applicable to, such Award shall immediately lapse and the Participant shall have the right to receive a payment based on target level achievement or actual performance through a date determined by the Committee, and (C) in the case of outstanding Restricted Stock, Restricted Stock Units or Other Stock-Based Awards (other than those referenced in subsection (B)), all conditions to the grant, issuance, retention, vesting or transferability of, or any other restrictions applicable to, such Award shall immediately lapse. In no event shall any action be taken pursuant to this </w:t>
      </w:r>
      <w:r>
        <w:rPr>
          <w:rFonts w:ascii="Times New Roman" w:hAnsi="Times New Roman"/>
          <w:sz w:val="20"/>
          <w:u w:val="single"/>
        </w:rPr>
        <w:t>Section 16(c)</w:t>
      </w:r>
      <w:r>
        <w:rPr>
          <w:rFonts w:ascii="Times New Roman" w:hAnsi="Times New Roman"/>
          <w:sz w:val="20"/>
        </w:rPr>
        <w:t xml:space="preserve"> that would change the payment or settlement date of an Award in a manner that would result in the imposition of any additional taxes or penalties pursuant to Section 409A of the Code. </w:t>
      </w:r>
    </w:p>
    <w:p>
      <w:pPr>
        <w:pStyle w:val="TextBody"/>
        <w:bidi w:val="0"/>
        <w:spacing w:before="120" w:after="0"/>
        <w:jc w:val="left"/>
        <w:rPr>
          <w:rFonts w:ascii="Times New Roman" w:hAnsi="Times New Roman"/>
          <w:sz w:val="20"/>
        </w:rPr>
      </w:pPr>
      <w:r>
        <w:rPr>
          <w:rFonts w:ascii="Times New Roman" w:hAnsi="Times New Roman"/>
          <w:sz w:val="20"/>
        </w:rPr>
        <w:t xml:space="preserve">(d) Notwithstanding anything in this </w:t>
      </w:r>
      <w:r>
        <w:rPr>
          <w:rFonts w:ascii="Times New Roman" w:hAnsi="Times New Roman"/>
          <w:sz w:val="20"/>
          <w:u w:val="single"/>
        </w:rPr>
        <w:t>Section 16</w:t>
      </w:r>
      <w:r>
        <w:rPr>
          <w:rFonts w:ascii="Times New Roman" w:hAnsi="Times New Roman"/>
          <w:sz w:val="20"/>
        </w:rPr>
        <w:t xml:space="preserve"> to the contrary, in the event of a Change in Control, the Committee may provide for the cancellation and cash settlement of all outstanding Awards upon such Change in Control (including the cancellation for no consideration of any Option or Stock Appreciation Right with an exercise price that equals or exceeds the per share consideration in such transaction). </w:t>
      </w:r>
    </w:p>
    <w:p>
      <w:pPr>
        <w:pStyle w:val="TextBody"/>
        <w:bidi w:val="0"/>
        <w:spacing w:before="120" w:after="0"/>
        <w:jc w:val="left"/>
        <w:rPr>
          <w:rFonts w:ascii="Times New Roman" w:hAnsi="Times New Roman"/>
          <w:sz w:val="20"/>
        </w:rPr>
      </w:pPr>
      <w:r>
        <w:rPr>
          <w:rFonts w:ascii="Times New Roman" w:hAnsi="Times New Roman"/>
          <w:sz w:val="20"/>
        </w:rPr>
        <w:t xml:space="preserve">(e) Notwithstanding anything in this </w:t>
      </w:r>
      <w:r>
        <w:rPr>
          <w:rFonts w:ascii="Times New Roman" w:hAnsi="Times New Roman"/>
          <w:sz w:val="20"/>
          <w:u w:val="single"/>
        </w:rPr>
        <w:t>Section 16</w:t>
      </w:r>
      <w:r>
        <w:rPr>
          <w:rFonts w:ascii="Times New Roman" w:hAnsi="Times New Roman"/>
          <w:sz w:val="20"/>
        </w:rPr>
        <w:t xml:space="preserve"> to the contrary, an adjustment to an Option or Stock Appreciation Right under this </w:t>
      </w:r>
      <w:r>
        <w:rPr>
          <w:rFonts w:ascii="Times New Roman" w:hAnsi="Times New Roman"/>
          <w:sz w:val="20"/>
          <w:u w:val="single"/>
        </w:rPr>
        <w:t>Section 16</w:t>
      </w:r>
      <w:r>
        <w:rPr>
          <w:rFonts w:ascii="Times New Roman" w:hAnsi="Times New Roman"/>
          <w:sz w:val="20"/>
        </w:rPr>
        <w:t xml:space="preserve"> shall be made in a manner that will not result in the grant of a new Option or Stock Appreciation Right under Section 409A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17.</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Transferability </w:t>
            </w:r>
          </w:p>
        </w:tc>
      </w:tr>
    </w:tbl>
    <w:p>
      <w:pPr>
        <w:pStyle w:val="TextBody"/>
        <w:bidi w:val="0"/>
        <w:spacing w:before="120" w:after="0"/>
        <w:jc w:val="left"/>
        <w:rPr>
          <w:rFonts w:ascii="Times New Roman" w:hAnsi="Times New Roman"/>
          <w:sz w:val="20"/>
        </w:rPr>
      </w:pPr>
      <w:r>
        <w:rPr>
          <w:rFonts w:ascii="Times New Roman" w:hAnsi="Times New Roman"/>
          <w:sz w:val="20"/>
        </w:rPr>
        <w:t>Each Award may not be sold, transferred for value, pledged, assigned, or otherwise alienated or hypothecated by a Participant other than by will or the laws of descent and distribution, and each Option or Stock Appreciation Right shall be exercisable only by the Participant during his or her lifetime. Notwithstanding the foregoing, (a) outstanding Options may be exercised following the Participant’s death by the Participant’s beneficiaries or as permitted by the Committee and (b) as permitted by the Committee, a Participant may transfer or assign an Award as a gift to any “family member” (as such term is defined in the Registration Statement on Form S-8) (an “</w:t>
      </w:r>
      <w:r>
        <w:rPr>
          <w:rFonts w:ascii="Times New Roman" w:hAnsi="Times New Roman"/>
          <w:b/>
          <w:i/>
          <w:sz w:val="20"/>
        </w:rPr>
        <w:t>Assignee Entity</w:t>
      </w:r>
      <w:r>
        <w:rPr>
          <w:rFonts w:ascii="Times New Roman" w:hAnsi="Times New Roman"/>
          <w:sz w:val="20"/>
        </w:rPr>
        <w:t xml:space="preserve">”), provided that such Assignee Entity shall be entitled to exercise assigned Options and Stock Appreciation Rights only during the lifetime of the assigning Participant (or following the assigning Participant’s death, by the Participant’s beneficiaries or as otherwise permitted by the Committee) and provided further that such Assignee Entity shall not further sell, pledge, transfer, assign or otherwise alienate or hypothecate such Award.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18.</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Compliance with Laws and Regulations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This Plan, the grant, issuance, vesting, exercise and settlement of Awards hereunder, and the obligation of the Company to sell, issue or deliver Ordinary Shares under such Awards, shall be subject to all applicable foreign, federal, state and local laws, rules and regulations, stock exchange rules and regulations, and to such approvals by any governmental or regulatory agency as may be required. The Company shall not be required to register in a Participant’s name or deliver Ordinary Shares prior to the completion of any registration or qualification of such shares under any foreign, federal, state or local law or any ruling or regulation of any government body which the Committee shall determine to be necessary or advisable. To the extent the Company is unable to or the Committee deems it infeasible to obtain authority from any regulatory body having jurisdiction, which authority is deemed by the Company’s counsel to be necessary to the lawful issuance and sale of any Ordinary Shares hereunder, the Company and its Subsidiaries shall be relieved of any liability with respect to the failure to issue or sell such Ordinary Shares as to which such requisite authority shall not have been obtained. No Option shall be exercisable and no Ordinary Shares shall be issued and/or transferable under any other Award unless a registration statement with respect to the Ordinary Shares underlying such Option is effective and current or the Company has determined, in its sole and absolute discretion, that such registration is unnecessary. </w:t>
      </w:r>
    </w:p>
    <w:p>
      <w:pPr>
        <w:pStyle w:val="TextBody"/>
        <w:bidi w:val="0"/>
        <w:spacing w:before="120" w:after="0"/>
        <w:jc w:val="left"/>
        <w:rPr>
          <w:rFonts w:ascii="Times New Roman" w:hAnsi="Times New Roman"/>
          <w:sz w:val="20"/>
        </w:rPr>
      </w:pPr>
      <w:r>
        <w:rPr>
          <w:rFonts w:ascii="Times New Roman" w:hAnsi="Times New Roman"/>
          <w:sz w:val="20"/>
        </w:rPr>
        <w:t xml:space="preserve">(b) In the event an Award is granted to or held by a Participant who is employed or providing services outside the United States, the Committee may, in its sole discretion, modify the provisions of the Plan or of such Award as they pertain to such individual to comply with applicable foreign law or to recognize differences in local law, currency or tax policy. The Committee may also impose conditions on the grant, issuance, exercise, vesting, settlement or retention of Awards in order to comply with such foreign law and/or to minimize the Company’s obligations with respect to tax equalization for Participants employed outside their home country.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19.</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Withholding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To the extent required by applicable federal, state, local or foreign law, the Committee may, and/or a Participant shall, make arrangements satisfactory to the Company for the satisfaction of any withholding tax obligations that arise with respect to any Award or the issuance or sale of any Ordinary Shares. The Company shall not be required to recognize any Participant rights under an Award, to issue Ordinary Shares or to recognize the disposition of such Ordinary Shares until such obligations are satisfied. To the extent permitted or required by the Committee, these obligations may or shall be satisfied by the Company withholding cash from any compensation otherwise payable to or for the benefit of a Participant, the Company withholding a portion of the Ordinary Shares that otherwise would be issued to a Participant under such Award or any other Award held by the Participant, or by the Participant tendering to the Company cash or, if allowed by the Committee, Ordinary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20.</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Amendment of the Plan or Awards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Board may amend, alter, suspend or terminate this Plan, and the Committee may amend or alter any Award Agreement or other document evidencing an Award made under this Plan; however, except as provided pursuant to the provisions of </w:t>
      </w:r>
      <w:r>
        <w:rPr>
          <w:rFonts w:ascii="Times New Roman" w:hAnsi="Times New Roman"/>
          <w:sz w:val="20"/>
          <w:u w:val="single"/>
        </w:rPr>
        <w:t>Section 16</w:t>
      </w:r>
      <w:r>
        <w:rPr>
          <w:rFonts w:ascii="Times New Roman" w:hAnsi="Times New Roman"/>
          <w:sz w:val="20"/>
        </w:rPr>
        <w:t xml:space="preserve">, no such amendment shall, without the approval of the shareholders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(a) increase the maximum number of Ordinary Shares for which Awards may be granted under this Plan; </w:t>
      </w:r>
    </w:p>
    <w:p>
      <w:pPr>
        <w:pStyle w:val="TextBody"/>
        <w:bidi w:val="0"/>
        <w:spacing w:before="120" w:after="0"/>
        <w:jc w:val="left"/>
        <w:rPr>
          <w:rFonts w:ascii="Times New Roman" w:hAnsi="Times New Roman"/>
          <w:sz w:val="20"/>
        </w:rPr>
      </w:pPr>
      <w:r>
        <w:rPr>
          <w:rFonts w:ascii="Times New Roman" w:hAnsi="Times New Roman"/>
          <w:sz w:val="20"/>
        </w:rPr>
        <w:t xml:space="preserve">(b) extend the term of this Plan; </w:t>
      </w:r>
    </w:p>
    <w:p>
      <w:pPr>
        <w:pStyle w:val="TextBody"/>
        <w:bidi w:val="0"/>
        <w:spacing w:before="120" w:after="0"/>
        <w:jc w:val="left"/>
        <w:rPr>
          <w:rFonts w:ascii="Times New Roman" w:hAnsi="Times New Roman"/>
          <w:sz w:val="20"/>
        </w:rPr>
      </w:pPr>
      <w:r>
        <w:rPr>
          <w:rFonts w:ascii="Times New Roman" w:hAnsi="Times New Roman"/>
          <w:sz w:val="20"/>
        </w:rPr>
        <w:t xml:space="preserve">(c) change the class of Persons eligible to be Participants; or </w:t>
      </w:r>
    </w:p>
    <w:p>
      <w:pPr>
        <w:pStyle w:val="TextBody"/>
        <w:bidi w:val="0"/>
        <w:spacing w:before="120" w:after="0"/>
        <w:jc w:val="left"/>
        <w:rPr>
          <w:rFonts w:ascii="Times New Roman" w:hAnsi="Times New Roman"/>
          <w:sz w:val="20"/>
        </w:rPr>
      </w:pPr>
      <w:r>
        <w:rPr>
          <w:rFonts w:ascii="Times New Roman" w:hAnsi="Times New Roman"/>
          <w:sz w:val="20"/>
        </w:rPr>
        <w:t xml:space="preserve">(d) otherwise amend the Plan in any manner requiring shareholder approval by law or the rules of any stock exchange or market or quotation system on which the Ordinary Shares are traded, listed or quoted. </w:t>
      </w:r>
    </w:p>
    <w:p>
      <w:pPr>
        <w:pStyle w:val="TextBody"/>
        <w:bidi w:val="0"/>
        <w:spacing w:before="240" w:after="0"/>
        <w:jc w:val="left"/>
        <w:rPr>
          <w:rFonts w:ascii="Times New Roman" w:hAnsi="Times New Roman"/>
          <w:sz w:val="20"/>
        </w:rPr>
      </w:pPr>
      <w:r>
        <w:rPr>
          <w:rFonts w:ascii="Times New Roman" w:hAnsi="Times New Roman"/>
          <w:sz w:val="20"/>
        </w:rPr>
        <w:t xml:space="preserve">No amendment or alteration to the Plan or an Award or Award Agreement shall be made which would materially impair the rights of the holder of an Award without such holder’s consent;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such consent shall be required if the Committee determines in its sole discretion and prior to the date of any Change in Control that such amendment or alteration either (i) is required or advisable in order for the Company, the Plan or the Award to satisfy any law or regulation or to meet the requirements of, or avoid adverse financial accounting consequences under, any accounting standard, or (ii) is not reasonably likely to significantly diminish the benefits provided under such Award, or that any such diminishment has been adequately compensated.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 Liability of Company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any Subsidiary or Affiliate which is in existence or hereafter comes into existence, the Board, the Committee and any delegate thereof shall not be liable to a Participant or any other person as to: (a) the non-issuance or sale of Ordinary Shares as to which the Company has been unable to obtain from any regulatory body having jurisdiction the authority deemed by the Company’s counsel to be necessary to the lawful issuance and sale of any Ordinary Shares hereunder; and (b) any tax consequence expected, but not realized, by any Participant or other person due to the receipt, vesting, exercise or settlement of any Award granted hereunder.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Non-Exclusivity of Plan </w:t>
            </w:r>
          </w:p>
        </w:tc>
      </w:tr>
    </w:tbl>
    <w:p>
      <w:pPr>
        <w:pStyle w:val="TextBody"/>
        <w:bidi w:val="0"/>
        <w:spacing w:before="120" w:after="0"/>
        <w:jc w:val="left"/>
        <w:rPr>
          <w:rFonts w:ascii="Times New Roman" w:hAnsi="Times New Roman"/>
          <w:sz w:val="20"/>
        </w:rPr>
      </w:pPr>
      <w:r>
        <w:rPr>
          <w:rFonts w:ascii="Times New Roman" w:hAnsi="Times New Roman"/>
          <w:sz w:val="20"/>
        </w:rPr>
        <w:t xml:space="preserve">Neither the adoption of this Plan by the Board nor the submission of this Plan to the shareholders of the Company for approval shall be construed as creating any limitations on the power of the Board or the Committee to adopt such other incentive arrangements as either may deem desirable, including the granting of equity awards otherwise than under this Plan, and such arrangements may be either generally applicable or applicable only in specific cases.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Governing Law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Plan and any agreements or other documents hereunder shall be interpreted and construed in accordance with the laws of the Cayman Islands (without regard to its choice of law provisions) and applicable Federal law. Any reference in this Plan or in the agreement or other document evidencing any Awards to a provision of law or to a rule or regulation shall be deemed to include any successor law, rule or regulation of similar effect or applicability.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 Right to Employment, Reelection or Continued Service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Nothing in this Plan or an Award Agreement shall interfere with or limit in any way the right of the Company, its Subsidiaries and/or its Affiliates to terminate any Participant’s employment, service on the Board or service at any time or for any reason not prohibited by law, nor shall this Plan or an Award itself confer upon any Participant any right to continue his or her employment or service for any specified period of time. Neither an Award nor any benefits arising under this Plan shall constitute an employment contract with the Company, any Subsidiary and/or its Affiliates. Subject to </w:t>
      </w:r>
      <w:r>
        <w:rPr>
          <w:rFonts w:ascii="Times New Roman" w:hAnsi="Times New Roman"/>
          <w:sz w:val="20"/>
          <w:u w:val="single"/>
        </w:rPr>
        <w:t>Sections 4</w:t>
      </w:r>
      <w:r>
        <w:rPr>
          <w:rFonts w:ascii="Times New Roman" w:hAnsi="Times New Roman"/>
          <w:sz w:val="20"/>
        </w:rPr>
        <w:t xml:space="preserve"> and </w:t>
      </w:r>
      <w:r>
        <w:rPr>
          <w:rFonts w:ascii="Times New Roman" w:hAnsi="Times New Roman"/>
          <w:sz w:val="20"/>
          <w:u w:val="single"/>
        </w:rPr>
        <w:t>20</w:t>
      </w:r>
      <w:r>
        <w:rPr>
          <w:rFonts w:ascii="Times New Roman" w:hAnsi="Times New Roman"/>
          <w:sz w:val="20"/>
        </w:rPr>
        <w:t xml:space="preserve">, this Plan and the benefits hereunder may be terminated at any time in the sole and exclusive discretion of the Board without giving rise to any liability on the part of the Company, its Subsidiaries and/or its Affiliates.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25.</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Specified Employee Delay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To the extent any payment under this Plan is considered deferred compensation subject to the restrictions contained in Section 409A of the Code, such payment may not be made to a specified employee (as determined in accordance with a uniform policy adopted by the Company with respect to all arrangements subject to Section 409A of the Code) upon Separation from Service before the date that is six months after the specified employee’s Separation from Service (or, if earlier, the specified employee’s death). Any payment that would otherwise be made during this period of delay shall be accumulated and paid on the sixth month plus one day following the specified employee’s Separation from Service (or, if earlier, as soon as administratively practicable after the specified employee’s death).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26.</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 Liability of Committee Members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 member of the Committee shall be personally liable by reason of any contract or other instrument executed by such member or on his or her behalf in his or her capacity as a member of the Committee nor for any mistake of judgment made in good faith, and the Company shall indemnify and hold harmless each member of the Committee and each other employee, officer or director of the Company to whom any duty or power relating to the administration or interpretation of the Plan may be allocated or delegated, against any cost or expense (including counsel fees) or liability (including any sum paid in settlement of a claim) arising out of any act or omission to act in connection with the Plan, unless arising out of such Person’s own fraud or willful bad faith; </w:t>
      </w:r>
      <w:r>
        <w:rPr>
          <w:rFonts w:ascii="Times New Roman" w:hAnsi="Times New Roman"/>
          <w:i/>
          <w:sz w:val="20"/>
        </w:rPr>
        <w:t>provided, however</w:t>
      </w:r>
      <w:r>
        <w:rPr>
          <w:rFonts w:ascii="Times New Roman" w:hAnsi="Times New Roman"/>
          <w:sz w:val="20"/>
        </w:rPr>
        <w:t xml:space="preserve">, that approval of the Board shall be required for the payment of any amount in settlement of a claim against any such Person. The foregoing right of indemnification shall not be exclusive of any other rights of indemnification to which such Persons may be entitled under the Company’s Memorandum and Articles of Association (as each may be amended from time to time), as a matter of law, pursuant to any individual agreement or otherwise, or any power that the Company may have to indemnify them or hold them harmless.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27.</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Severability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any provision of the Plan or any Award is or becomes or is deemed to be invalid, illegal, or unenforceable in any jurisdiction or as to any Person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28.</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Unfunded Plan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Plan is intended to be an unfunded plan. Participants are and shall at all times be general creditors of the Company with respect to their Awards. If the Committee or the Company chooses to set aside funds in a trust or otherwise for the payment of Awards under the Plan, such funds shall at all times be subject to the claims of the creditors of the Company in the event of its bankruptcy or insolvency.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29.</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Clawback/Recoupment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Awards granted under this Plan will be subject to recoupment in accordance with any clawback policy that the Company adopts or is required to adopt pursuant to the listing standards of any national securities exchange or association on which the Company’s securities are listed or as is otherwise required by the Rule 10D-1 under the Exchange Act or other applicable law. In addition, the Committee may impose such other clawback, recovery or recoupment provisions in an Award Agreement as the Committee determines necessary or appropriate, including a reacquisition right in respect of previously acquired Ordinary Shares or other cash or property upon the occurrence of misconduct. No recovery of compensation under such a clawback policy will be an event giving rise to a right to resign for “good reason” or be deemed a “constructive termination” (or any similar term) as such terms are used in any agreement between any Participant and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30.</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Beneficiary Designation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Participants may designate beneficiaries with respect to Awards under the Plan in accordance with the procedures determined by the Committee. In the absence of a beneficiary designation, a Participant’s estate will be the deemed beneficiary.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31.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Interpretation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Headings are given to the Sections and subsections of the Plan solely as a convenience to facilitate reference and shall not be deemed in any way material or relevant to the construction or interpretation of the Plan or any provision thereof. Words in the masculine gender shall include the feminine gender, and where appropriate, the plural shall include the singular and the singular shall include the plural. The use herein of the word “including” following any general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References herein to any agreement, instrument or other document means such agreement, instrument or other document as amended, supplemented and modified from time to time to the extent permitted by the provisions thereof and not prohibited by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p>
    <w:p>
      <w:pPr>
        <w:pStyle w:val="TextBody"/>
        <w:bidi w:val="0"/>
        <w:spacing w:before="0" w:after="0"/>
        <w:jc w:val="right"/>
        <w:rPr>
          <w:rFonts w:ascii="Times New Roman" w:hAnsi="Times New Roman"/>
          <w:b/>
          <w:sz w:val="20"/>
        </w:rPr>
      </w:pPr>
      <w:bookmarkStart w:id="5" w:name="d135820dex43.htm"/>
      <w:bookmarkStart w:id="6" w:name="ksd135820dex43"/>
      <w:bookmarkEnd w:id="5"/>
      <w:bookmarkEnd w:id="6"/>
      <w:r>
        <w:rPr>
          <w:rFonts w:ascii="Times New Roman" w:hAnsi="Times New Roman"/>
          <w:b/>
          <w:sz w:val="20"/>
        </w:rPr>
        <w:t xml:space="preserve">Exhibit 4.3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DAMORA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2026 EMPLOYEE STOCK PURCHASE PLAN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Purpose </w:t>
            </w:r>
          </w:p>
        </w:tc>
      </w:tr>
    </w:tbl>
    <w:p>
      <w:pPr>
        <w:pStyle w:val="TextBody"/>
        <w:bidi w:val="0"/>
        <w:spacing w:before="120" w:after="0"/>
        <w:jc w:val="left"/>
        <w:rPr>
          <w:rFonts w:ascii="Times New Roman" w:hAnsi="Times New Roman"/>
          <w:sz w:val="20"/>
        </w:rPr>
      </w:pPr>
      <w:r>
        <w:rPr>
          <w:rFonts w:ascii="Times New Roman" w:hAnsi="Times New Roman"/>
          <w:sz w:val="20"/>
        </w:rPr>
        <w:t>The purpose of this Damora Therapeutics, Inc. 2026 Employee Stock Purchase Plan (the “</w:t>
      </w:r>
      <w:r>
        <w:rPr>
          <w:rFonts w:ascii="Times New Roman" w:hAnsi="Times New Roman"/>
          <w:b/>
          <w:i/>
          <w:sz w:val="20"/>
        </w:rPr>
        <w:t>Plan</w:t>
      </w:r>
      <w:r>
        <w:rPr>
          <w:rFonts w:ascii="Times New Roman" w:hAnsi="Times New Roman"/>
          <w:sz w:val="20"/>
        </w:rPr>
        <w:t xml:space="preserve">”) is to provide employees of the Company and its Designated Subsidiaries with an opportunity to purchase Ordinary Shares through accumulated Contributions. The Company’s intention is to have the Plan qualify as an “employee stock purchase plan” under Section 423 of the Code. The provisions of the Plan, accordingly, will be construed to extend and limit Plan participation in a uniform and nondiscriminatory basis consistent with the requirements of Section 423 of the Code.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Definitions.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used in the Plan, the following terms shall have the meanings set forth below: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i/>
          <w:sz w:val="20"/>
        </w:rPr>
        <w:t>Administrator</w:t>
      </w:r>
      <w:r>
        <w:rPr>
          <w:rFonts w:ascii="Times New Roman" w:hAnsi="Times New Roman"/>
          <w:sz w:val="20"/>
        </w:rPr>
        <w:t xml:space="preserve">” means the Compensation Committee of the Board (or any successor committee), or such other committee as designated by the Board to administer the Plan under </w:t>
      </w:r>
      <w:r>
        <w:rPr>
          <w:rFonts w:ascii="Times New Roman" w:hAnsi="Times New Roman"/>
          <w:sz w:val="20"/>
          <w:u w:val="single"/>
        </w:rPr>
        <w:t>Section 14</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b/>
          <w:i/>
          <w:sz w:val="20"/>
        </w:rPr>
        <w:t>Applicable Laws</w:t>
      </w:r>
      <w:r>
        <w:rPr>
          <w:rFonts w:ascii="Times New Roman" w:hAnsi="Times New Roman"/>
          <w:sz w:val="20"/>
        </w:rPr>
        <w:t xml:space="preserve">” means the requirements relating to the administration of equity-based awards under U.S. state corporate laws, U.S. federal and state securities laws, the Code, any stock exchange or quotation system on which the Ordinary Shares are listed or quoted, and the applicable laws of any foreign country or jurisdiction where options are, or will be, granted under the Plan.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b/>
          <w:i/>
          <w:sz w:val="20"/>
        </w:rPr>
        <w:t>Board</w:t>
      </w:r>
      <w:r>
        <w:rPr>
          <w:rFonts w:ascii="Times New Roman" w:hAnsi="Times New Roman"/>
          <w:sz w:val="20"/>
        </w:rPr>
        <w:t xml:space="preserve">” means the Board of Directors of the Company.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b/>
          <w:i/>
          <w:sz w:val="20"/>
        </w:rPr>
        <w:t>Code</w:t>
      </w:r>
      <w:r>
        <w:rPr>
          <w:rFonts w:ascii="Times New Roman" w:hAnsi="Times New Roman"/>
          <w:sz w:val="20"/>
        </w:rPr>
        <w:t xml:space="preserve">” means the Internal Revenue Code of 1986, as amended from time to time, and the rulings and regulations issued thereunder. </w:t>
      </w:r>
    </w:p>
    <w:p>
      <w:pPr>
        <w:pStyle w:val="TextBody"/>
        <w:bidi w:val="0"/>
        <w:spacing w:before="120" w:after="0"/>
        <w:jc w:val="left"/>
        <w:rPr>
          <w:rFonts w:ascii="Times New Roman" w:hAnsi="Times New Roman"/>
          <w:sz w:val="20"/>
        </w:rPr>
      </w:pPr>
      <w:r>
        <w:rPr>
          <w:rFonts w:ascii="Times New Roman" w:hAnsi="Times New Roman"/>
          <w:sz w:val="20"/>
        </w:rPr>
        <w:t>(e) “</w:t>
      </w:r>
      <w:r>
        <w:rPr>
          <w:rFonts w:ascii="Times New Roman" w:hAnsi="Times New Roman"/>
          <w:b/>
          <w:i/>
          <w:sz w:val="20"/>
        </w:rPr>
        <w:t>Company</w:t>
      </w:r>
      <w:r>
        <w:rPr>
          <w:rFonts w:ascii="Times New Roman" w:hAnsi="Times New Roman"/>
          <w:sz w:val="20"/>
        </w:rPr>
        <w:t xml:space="preserve">” means Damora Therapeutics, Inc., a Cayman Islands exempted company, and any successor corporation. </w:t>
      </w:r>
    </w:p>
    <w:p>
      <w:pPr>
        <w:pStyle w:val="TextBody"/>
        <w:bidi w:val="0"/>
        <w:spacing w:before="120" w:after="0"/>
        <w:jc w:val="left"/>
        <w:rPr>
          <w:rFonts w:ascii="Times New Roman" w:hAnsi="Times New Roman"/>
          <w:sz w:val="20"/>
        </w:rPr>
      </w:pPr>
      <w:r>
        <w:rPr>
          <w:rFonts w:ascii="Times New Roman" w:hAnsi="Times New Roman"/>
          <w:sz w:val="20"/>
        </w:rPr>
        <w:t>(f) “</w:t>
      </w:r>
      <w:r>
        <w:rPr>
          <w:rFonts w:ascii="Times New Roman" w:hAnsi="Times New Roman"/>
          <w:b/>
          <w:i/>
          <w:sz w:val="20"/>
        </w:rPr>
        <w:t>Compensation</w:t>
      </w:r>
      <w:r>
        <w:rPr>
          <w:rFonts w:ascii="Times New Roman" w:hAnsi="Times New Roman"/>
          <w:sz w:val="20"/>
        </w:rPr>
        <w:t xml:space="preserve">” means an Eligible Employee’s base salary or base hourly rate of pay before deduction for any salary deferral contributions made by the Eligible Employee to any tax-qualified or nonqualified deferred compensation plan, but excluding commissions, overtime, incentive compensation, bonuses and other forms of compensation. The Administrator, in its discretion, may, on a uniform and nondiscriminatory basis, establish a different definition of Compensation for an Offering Period. </w:t>
      </w:r>
    </w:p>
    <w:p>
      <w:pPr>
        <w:pStyle w:val="TextBody"/>
        <w:bidi w:val="0"/>
        <w:spacing w:before="120" w:after="0"/>
        <w:jc w:val="left"/>
        <w:rPr>
          <w:rFonts w:ascii="Times New Roman" w:hAnsi="Times New Roman"/>
          <w:sz w:val="20"/>
        </w:rPr>
      </w:pPr>
      <w:r>
        <w:rPr>
          <w:rFonts w:ascii="Times New Roman" w:hAnsi="Times New Roman"/>
          <w:sz w:val="20"/>
        </w:rPr>
        <w:t>(g) “</w:t>
      </w:r>
      <w:r>
        <w:rPr>
          <w:rFonts w:ascii="Times New Roman" w:hAnsi="Times New Roman"/>
          <w:b/>
          <w:i/>
          <w:sz w:val="20"/>
        </w:rPr>
        <w:t>Contributions</w:t>
      </w:r>
      <w:r>
        <w:rPr>
          <w:rFonts w:ascii="Times New Roman" w:hAnsi="Times New Roman"/>
          <w:sz w:val="20"/>
        </w:rPr>
        <w:t xml:space="preserve">” means the payroll deductions and any other additional payments that the Administrator may permit to be made by a Participant to fund the exercise of options granted pursuant to the Plan, subject to Section 423 of the Code. </w:t>
      </w:r>
    </w:p>
    <w:p>
      <w:pPr>
        <w:pStyle w:val="TextBody"/>
        <w:bidi w:val="0"/>
        <w:spacing w:before="120" w:after="0"/>
        <w:jc w:val="left"/>
        <w:rPr>
          <w:rFonts w:ascii="Times New Roman" w:hAnsi="Times New Roman"/>
          <w:sz w:val="20"/>
        </w:rPr>
      </w:pPr>
      <w:r>
        <w:rPr>
          <w:rFonts w:ascii="Times New Roman" w:hAnsi="Times New Roman"/>
          <w:sz w:val="20"/>
        </w:rPr>
        <w:t>(h) “</w:t>
      </w:r>
      <w:r>
        <w:rPr>
          <w:rFonts w:ascii="Times New Roman" w:hAnsi="Times New Roman"/>
          <w:b/>
          <w:i/>
          <w:sz w:val="20"/>
        </w:rPr>
        <w:t>Designated Subsidiary</w:t>
      </w:r>
      <w:r>
        <w:rPr>
          <w:rFonts w:ascii="Times New Roman" w:hAnsi="Times New Roman"/>
          <w:sz w:val="20"/>
        </w:rPr>
        <w:t xml:space="preserve">” means any Subsidiary that has been designated by the Administrator from time to time in its sole discretion as eligible to participate in the Plan. As of the date of adoption of the Plan, the Designated Subsidiaries consist exclusively of: Damora Therapeutics, LLC.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 “</w:t>
      </w:r>
      <w:r>
        <w:rPr>
          <w:rFonts w:ascii="Times New Roman" w:hAnsi="Times New Roman"/>
          <w:b/>
          <w:i/>
          <w:sz w:val="20"/>
        </w:rPr>
        <w:t>Effective Date</w:t>
      </w:r>
      <w:r>
        <w:rPr>
          <w:rFonts w:ascii="Times New Roman" w:hAnsi="Times New Roman"/>
          <w:sz w:val="20"/>
        </w:rPr>
        <w:t xml:space="preserve">” means February 9, 2026. </w:t>
      </w:r>
    </w:p>
    <w:p>
      <w:pPr>
        <w:pStyle w:val="TextBody"/>
        <w:bidi w:val="0"/>
        <w:spacing w:before="240" w:after="0"/>
        <w:jc w:val="left"/>
        <w:rPr>
          <w:rFonts w:ascii="Times New Roman" w:hAnsi="Times New Roman"/>
          <w:sz w:val="20"/>
        </w:rPr>
      </w:pPr>
      <w:r>
        <w:rPr>
          <w:rFonts w:ascii="Times New Roman" w:hAnsi="Times New Roman"/>
          <w:sz w:val="20"/>
        </w:rPr>
        <w:t>(j) “</w:t>
      </w:r>
      <w:r>
        <w:rPr>
          <w:rFonts w:ascii="Times New Roman" w:hAnsi="Times New Roman"/>
          <w:b/>
          <w:i/>
          <w:sz w:val="20"/>
        </w:rPr>
        <w:t>Eligible Employee</w:t>
      </w:r>
      <w:r>
        <w:rPr>
          <w:rFonts w:ascii="Times New Roman" w:hAnsi="Times New Roman"/>
          <w:sz w:val="20"/>
        </w:rPr>
        <w:t xml:space="preserve">” means any person, including an officer, who is customarily employed by the Company or a Designated Subsidiary (i) for more than 20 hours per week and (ii) for more than five months in any calendar year. For purposes of the Plan, the employment relationship shall be treated as continuing intact while the individual is on sick leave or other leave of absence approved by the Company. Where the period of leave exceeds 90 days and the individual’s right to reemployment is not guaranteed either by statute or by contract, the employment relationship shall be deemed to have terminated on the 91st day of such leave. “Eligible Employee” shall not include any person who is a citizen or resident of a foreign jurisdiction if granting them an option under the Plan would violate the law of such jurisdiction, or if compliance with the laws of the jurisdiction would cause the Plan to violate Section 423 of the Code. </w:t>
      </w:r>
    </w:p>
    <w:p>
      <w:pPr>
        <w:pStyle w:val="TextBody"/>
        <w:bidi w:val="0"/>
        <w:spacing w:before="240" w:after="0"/>
        <w:jc w:val="left"/>
        <w:rPr>
          <w:rFonts w:ascii="Times New Roman" w:hAnsi="Times New Roman"/>
          <w:sz w:val="20"/>
        </w:rPr>
      </w:pPr>
      <w:r>
        <w:rPr>
          <w:rFonts w:ascii="Times New Roman" w:hAnsi="Times New Roman"/>
          <w:sz w:val="20"/>
        </w:rPr>
        <w:t>(k) “</w:t>
      </w:r>
      <w:r>
        <w:rPr>
          <w:rFonts w:ascii="Times New Roman" w:hAnsi="Times New Roman"/>
          <w:b/>
          <w:i/>
          <w:sz w:val="20"/>
        </w:rPr>
        <w:t>Employer</w:t>
      </w:r>
      <w:r>
        <w:rPr>
          <w:rFonts w:ascii="Times New Roman" w:hAnsi="Times New Roman"/>
          <w:sz w:val="20"/>
        </w:rPr>
        <w:t xml:space="preserve">” means the Company and each Designated Subsidiary. </w:t>
      </w:r>
    </w:p>
    <w:p>
      <w:pPr>
        <w:pStyle w:val="TextBody"/>
        <w:bidi w:val="0"/>
        <w:spacing w:before="240" w:after="0"/>
        <w:jc w:val="left"/>
        <w:rPr>
          <w:rFonts w:ascii="Times New Roman" w:hAnsi="Times New Roman"/>
          <w:sz w:val="20"/>
        </w:rPr>
      </w:pPr>
      <w:r>
        <w:rPr>
          <w:rFonts w:ascii="Times New Roman" w:hAnsi="Times New Roman"/>
          <w:sz w:val="20"/>
        </w:rPr>
        <w:t>(l) “</w:t>
      </w:r>
      <w:r>
        <w:rPr>
          <w:rFonts w:ascii="Times New Roman" w:hAnsi="Times New Roman"/>
          <w:b/>
          <w:i/>
          <w:sz w:val="20"/>
        </w:rPr>
        <w:t>Enrollment Date</w:t>
      </w:r>
      <w:r>
        <w:rPr>
          <w:rFonts w:ascii="Times New Roman" w:hAnsi="Times New Roman"/>
          <w:sz w:val="20"/>
        </w:rPr>
        <w:t xml:space="preserve">” means the first Trading Day of each Offering Period. </w:t>
      </w:r>
    </w:p>
    <w:p>
      <w:pPr>
        <w:pStyle w:val="TextBody"/>
        <w:bidi w:val="0"/>
        <w:spacing w:before="240" w:after="0"/>
        <w:jc w:val="left"/>
        <w:rPr>
          <w:rFonts w:ascii="Times New Roman" w:hAnsi="Times New Roman"/>
          <w:sz w:val="20"/>
        </w:rPr>
      </w:pPr>
      <w:r>
        <w:rPr>
          <w:rFonts w:ascii="Times New Roman" w:hAnsi="Times New Roman"/>
          <w:sz w:val="20"/>
        </w:rPr>
        <w:t>(m) “</w:t>
      </w:r>
      <w:r>
        <w:rPr>
          <w:rFonts w:ascii="Times New Roman" w:hAnsi="Times New Roman"/>
          <w:b/>
          <w:i/>
          <w:sz w:val="20"/>
        </w:rPr>
        <w:t>Exchange Act</w:t>
      </w:r>
      <w:r>
        <w:rPr>
          <w:rFonts w:ascii="Times New Roman" w:hAnsi="Times New Roman"/>
          <w:sz w:val="20"/>
        </w:rPr>
        <w:t xml:space="preserve">” means the Securities Exchange Act of 1934, as amended, including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(n) “</w:t>
      </w:r>
      <w:r>
        <w:rPr>
          <w:rFonts w:ascii="Times New Roman" w:hAnsi="Times New Roman"/>
          <w:b/>
          <w:i/>
          <w:sz w:val="20"/>
        </w:rPr>
        <w:t>Exercise Date</w:t>
      </w:r>
      <w:r>
        <w:rPr>
          <w:rFonts w:ascii="Times New Roman" w:hAnsi="Times New Roman"/>
          <w:sz w:val="20"/>
        </w:rPr>
        <w:t xml:space="preserve">” means the last Trading Day of each Purchase Period. </w:t>
      </w:r>
    </w:p>
    <w:p>
      <w:pPr>
        <w:pStyle w:val="TextBody"/>
        <w:bidi w:val="0"/>
        <w:spacing w:before="240" w:after="0"/>
        <w:jc w:val="left"/>
        <w:rPr>
          <w:rFonts w:ascii="Times New Roman" w:hAnsi="Times New Roman"/>
          <w:sz w:val="20"/>
        </w:rPr>
      </w:pPr>
      <w:r>
        <w:rPr>
          <w:rFonts w:ascii="Times New Roman" w:hAnsi="Times New Roman"/>
          <w:sz w:val="20"/>
        </w:rPr>
        <w:t>(o) “</w:t>
      </w:r>
      <w:r>
        <w:rPr>
          <w:rFonts w:ascii="Times New Roman" w:hAnsi="Times New Roman"/>
          <w:b/>
          <w:i/>
          <w:sz w:val="20"/>
        </w:rPr>
        <w:t>Fair Market Value</w:t>
      </w:r>
      <w:r>
        <w:rPr>
          <w:rFonts w:ascii="Times New Roman" w:hAnsi="Times New Roman"/>
          <w:sz w:val="20"/>
        </w:rPr>
        <w:t xml:space="preserve">” means as of any date, the value of the Ordinary Shares determined as follows: (i) if the Ordinary Shares are listed on any established stock exchange, system or market, their Fair Market Value shall be the closing price for an Ordinary Share as quoted on such exchange, system or market as reported in the Wall Street Journal or such other source as the Administrator deems reliable (or, if no sale of Ordinary Shares are reported for such date, on the next preceding date on which any sale shall have been reported); and (ii) in the absence of an established market for the Ordinary Shares, the Fair Market Value thereof shall be determined in good faith by the Administrator. </w:t>
      </w:r>
    </w:p>
    <w:p>
      <w:pPr>
        <w:pStyle w:val="TextBody"/>
        <w:bidi w:val="0"/>
        <w:spacing w:before="240" w:after="0"/>
        <w:jc w:val="left"/>
        <w:rPr>
          <w:rFonts w:ascii="Times New Roman" w:hAnsi="Times New Roman"/>
          <w:sz w:val="20"/>
        </w:rPr>
      </w:pPr>
      <w:r>
        <w:rPr>
          <w:rFonts w:ascii="Times New Roman" w:hAnsi="Times New Roman"/>
          <w:sz w:val="20"/>
        </w:rPr>
        <w:t>(p) “</w:t>
      </w:r>
      <w:r>
        <w:rPr>
          <w:rFonts w:ascii="Times New Roman" w:hAnsi="Times New Roman"/>
          <w:b/>
          <w:i/>
          <w:sz w:val="20"/>
        </w:rPr>
        <w:t>New Exercise Date</w:t>
      </w:r>
      <w:r>
        <w:rPr>
          <w:rFonts w:ascii="Times New Roman" w:hAnsi="Times New Roman"/>
          <w:sz w:val="20"/>
        </w:rPr>
        <w:t xml:space="preserve">” means a new Exercise Date if the Administrator shortens any Offering Period then in progress. </w:t>
      </w:r>
    </w:p>
    <w:p>
      <w:pPr>
        <w:pStyle w:val="TextBody"/>
        <w:bidi w:val="0"/>
        <w:spacing w:before="240" w:after="0"/>
        <w:jc w:val="left"/>
        <w:rPr>
          <w:rFonts w:ascii="Times New Roman" w:hAnsi="Times New Roman"/>
          <w:sz w:val="20"/>
        </w:rPr>
      </w:pPr>
      <w:r>
        <w:rPr>
          <w:rFonts w:ascii="Times New Roman" w:hAnsi="Times New Roman"/>
          <w:sz w:val="20"/>
        </w:rPr>
        <w:t>(q) “</w:t>
      </w:r>
      <w:r>
        <w:rPr>
          <w:rFonts w:ascii="Times New Roman" w:hAnsi="Times New Roman"/>
          <w:b/>
          <w:i/>
          <w:sz w:val="20"/>
        </w:rPr>
        <w:t>Offering</w:t>
      </w:r>
      <w:r>
        <w:rPr>
          <w:rFonts w:ascii="Times New Roman" w:hAnsi="Times New Roman"/>
          <w:sz w:val="20"/>
        </w:rPr>
        <w:t xml:space="preserve">” means an offer under the Plan of an option that may be exercised during an Offering Period as further described in </w:t>
      </w:r>
      <w:r>
        <w:rPr>
          <w:rFonts w:ascii="Times New Roman" w:hAnsi="Times New Roman"/>
          <w:sz w:val="20"/>
          <w:u w:val="single"/>
        </w:rPr>
        <w:t>Section 4</w:t>
      </w:r>
      <w:r>
        <w:rPr>
          <w:rFonts w:ascii="Times New Roman" w:hAnsi="Times New Roman"/>
          <w:sz w:val="20"/>
        </w:rPr>
        <w:t xml:space="preserve">. For purposes of the Plan, the Administrator may designate separate Offerings under the Plan (the terms of which need not be identical) in which Eligible Employees of one or more Employers will participate, even if the dates of the applicable Offering Periods of each such Offering are identical and the provisions of the Plan will separately apply to each Offering. To the extent permitted by Treasury Regulation Section 1.423-2(a)(1), the terms of each Offering need not be identical; </w:t>
      </w:r>
      <w:r>
        <w:rPr>
          <w:rFonts w:ascii="Times New Roman" w:hAnsi="Times New Roman"/>
          <w:i/>
          <w:sz w:val="20"/>
        </w:rPr>
        <w:t>provided, however</w:t>
      </w:r>
      <w:r>
        <w:rPr>
          <w:rFonts w:ascii="Times New Roman" w:hAnsi="Times New Roman"/>
          <w:sz w:val="20"/>
        </w:rPr>
        <w:t xml:space="preserve">, that the terms of the Plan and an Offering together satisfy Treasury Regulation Sections 1.423-2(a)(2) and (a)(3).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(r) “</w:t>
      </w:r>
      <w:r>
        <w:rPr>
          <w:rFonts w:ascii="Times New Roman" w:hAnsi="Times New Roman"/>
          <w:b/>
          <w:i/>
          <w:sz w:val="20"/>
        </w:rPr>
        <w:t>Offering Periods</w:t>
      </w:r>
      <w:r>
        <w:rPr>
          <w:rFonts w:ascii="Times New Roman" w:hAnsi="Times New Roman"/>
          <w:sz w:val="20"/>
        </w:rPr>
        <w:t xml:space="preserve">” means the periods established by the Administrator (not to exceed 27 months) during which an option granted pursuant to the Plan may be exercised. The duration and timing of Offering Periods may be changed pursuant to </w:t>
      </w:r>
      <w:r>
        <w:rPr>
          <w:rFonts w:ascii="Times New Roman" w:hAnsi="Times New Roman"/>
          <w:sz w:val="20"/>
          <w:u w:val="single"/>
        </w:rPr>
        <w:t>Sections 4</w:t>
      </w:r>
      <w:r>
        <w:rPr>
          <w:rFonts w:ascii="Times New Roman" w:hAnsi="Times New Roman"/>
          <w:sz w:val="20"/>
        </w:rPr>
        <w:t xml:space="preserve">, </w:t>
      </w:r>
      <w:r>
        <w:rPr>
          <w:rFonts w:ascii="Times New Roman" w:hAnsi="Times New Roman"/>
          <w:sz w:val="20"/>
          <w:u w:val="single"/>
        </w:rPr>
        <w:t>18,</w:t>
      </w:r>
      <w:r>
        <w:rPr>
          <w:rFonts w:ascii="Times New Roman" w:hAnsi="Times New Roman"/>
          <w:sz w:val="20"/>
        </w:rPr>
        <w:t xml:space="preserve"> and </w:t>
      </w:r>
      <w:r>
        <w:rPr>
          <w:rFonts w:ascii="Times New Roman" w:hAnsi="Times New Roman"/>
          <w:sz w:val="20"/>
          <w:u w:val="single"/>
        </w:rPr>
        <w:t>19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(s) “</w:t>
      </w:r>
      <w:r>
        <w:rPr>
          <w:rFonts w:ascii="Times New Roman" w:hAnsi="Times New Roman"/>
          <w:b/>
          <w:i/>
          <w:sz w:val="20"/>
        </w:rPr>
        <w:t>Ordinary Shares</w:t>
      </w:r>
      <w:r>
        <w:rPr>
          <w:rFonts w:ascii="Times New Roman" w:hAnsi="Times New Roman"/>
          <w:sz w:val="20"/>
        </w:rPr>
        <w:t xml:space="preserve">” means the ordinary shares of the Company, $0.00001 par value per share. </w:t>
      </w:r>
    </w:p>
    <w:p>
      <w:pPr>
        <w:pStyle w:val="TextBody"/>
        <w:bidi w:val="0"/>
        <w:spacing w:before="240" w:after="0"/>
        <w:jc w:val="left"/>
        <w:rPr>
          <w:rFonts w:ascii="Times New Roman" w:hAnsi="Times New Roman"/>
          <w:sz w:val="20"/>
        </w:rPr>
      </w:pPr>
      <w:r>
        <w:rPr>
          <w:rFonts w:ascii="Times New Roman" w:hAnsi="Times New Roman"/>
          <w:sz w:val="20"/>
        </w:rPr>
        <w:t>(t) “</w:t>
      </w:r>
      <w:r>
        <w:rPr>
          <w:rFonts w:ascii="Times New Roman" w:hAnsi="Times New Roman"/>
          <w:b/>
          <w:i/>
          <w:sz w:val="20"/>
        </w:rPr>
        <w:t>Outstanding Ordinary Shares</w:t>
      </w:r>
      <w:r>
        <w:rPr>
          <w:rFonts w:ascii="Times New Roman" w:hAnsi="Times New Roman"/>
          <w:sz w:val="20"/>
        </w:rPr>
        <w:t xml:space="preserve">” means the sum of (i) the Ordinary Shares outstanding, (ii) the Ordinary Shares underlying unexercised pre-funded warrants, and (iii) the Ordinary Shares underlying the Company’s preferred shares, par value $0.00001 per share. </w:t>
      </w:r>
    </w:p>
    <w:p>
      <w:pPr>
        <w:pStyle w:val="TextBody"/>
        <w:bidi w:val="0"/>
        <w:spacing w:before="240" w:after="0"/>
        <w:jc w:val="left"/>
        <w:rPr>
          <w:rFonts w:ascii="Times New Roman" w:hAnsi="Times New Roman"/>
          <w:sz w:val="20"/>
        </w:rPr>
      </w:pPr>
      <w:r>
        <w:rPr>
          <w:rFonts w:ascii="Times New Roman" w:hAnsi="Times New Roman"/>
          <w:sz w:val="20"/>
        </w:rPr>
        <w:t>(u) “</w:t>
      </w:r>
      <w:r>
        <w:rPr>
          <w:rFonts w:ascii="Times New Roman" w:hAnsi="Times New Roman"/>
          <w:b/>
          <w:i/>
          <w:sz w:val="20"/>
        </w:rPr>
        <w:t>Parent</w:t>
      </w:r>
      <w:r>
        <w:rPr>
          <w:rFonts w:ascii="Times New Roman" w:hAnsi="Times New Roman"/>
          <w:sz w:val="20"/>
        </w:rPr>
        <w:t xml:space="preserve">” means a “parent corporation,” whether now or hereafter existing, as defined in Section 424(e) of the Code. </w:t>
      </w:r>
    </w:p>
    <w:p>
      <w:pPr>
        <w:pStyle w:val="TextBody"/>
        <w:bidi w:val="0"/>
        <w:spacing w:before="240" w:after="0"/>
        <w:jc w:val="left"/>
        <w:rPr>
          <w:rFonts w:ascii="Times New Roman" w:hAnsi="Times New Roman"/>
          <w:sz w:val="20"/>
        </w:rPr>
      </w:pPr>
      <w:r>
        <w:rPr>
          <w:rFonts w:ascii="Times New Roman" w:hAnsi="Times New Roman"/>
          <w:sz w:val="20"/>
        </w:rPr>
        <w:t>(v) “</w:t>
      </w:r>
      <w:r>
        <w:rPr>
          <w:rFonts w:ascii="Times New Roman" w:hAnsi="Times New Roman"/>
          <w:b/>
          <w:i/>
          <w:sz w:val="20"/>
        </w:rPr>
        <w:t>Participant</w:t>
      </w:r>
      <w:r>
        <w:rPr>
          <w:rFonts w:ascii="Times New Roman" w:hAnsi="Times New Roman"/>
          <w:sz w:val="20"/>
        </w:rPr>
        <w:t xml:space="preserve">” means an Eligible Employee who elects to participate in the Plan. </w:t>
      </w:r>
    </w:p>
    <w:p>
      <w:pPr>
        <w:pStyle w:val="TextBody"/>
        <w:bidi w:val="0"/>
        <w:spacing w:before="240" w:after="0"/>
        <w:jc w:val="left"/>
        <w:rPr>
          <w:rFonts w:ascii="Times New Roman" w:hAnsi="Times New Roman"/>
          <w:sz w:val="20"/>
        </w:rPr>
      </w:pPr>
      <w:r>
        <w:rPr>
          <w:rFonts w:ascii="Times New Roman" w:hAnsi="Times New Roman"/>
          <w:sz w:val="20"/>
        </w:rPr>
        <w:t>(w) “</w:t>
      </w:r>
      <w:r>
        <w:rPr>
          <w:rFonts w:ascii="Times New Roman" w:hAnsi="Times New Roman"/>
          <w:b/>
          <w:i/>
          <w:sz w:val="20"/>
        </w:rPr>
        <w:t>Purchase Period</w:t>
      </w:r>
      <w:r>
        <w:rPr>
          <w:rFonts w:ascii="Times New Roman" w:hAnsi="Times New Roman"/>
          <w:sz w:val="20"/>
        </w:rPr>
        <w:t xml:space="preserve">” means the period during an Offering Period during which Ordinary Shares may be purchased on a Participant’s behalf in accordance with the terms of the Plan, as established by the Administrator. </w:t>
      </w:r>
    </w:p>
    <w:p>
      <w:pPr>
        <w:pStyle w:val="TextBody"/>
        <w:bidi w:val="0"/>
        <w:spacing w:before="240" w:after="0"/>
        <w:jc w:val="left"/>
        <w:rPr>
          <w:rFonts w:ascii="Times New Roman" w:hAnsi="Times New Roman"/>
          <w:sz w:val="20"/>
        </w:rPr>
      </w:pPr>
      <w:r>
        <w:rPr>
          <w:rFonts w:ascii="Times New Roman" w:hAnsi="Times New Roman"/>
          <w:sz w:val="20"/>
        </w:rPr>
        <w:t>(x) “</w:t>
      </w:r>
      <w:r>
        <w:rPr>
          <w:rFonts w:ascii="Times New Roman" w:hAnsi="Times New Roman"/>
          <w:b/>
          <w:i/>
          <w:sz w:val="20"/>
        </w:rPr>
        <w:t>Purchase Price</w:t>
      </w:r>
      <w:r>
        <w:rPr>
          <w:rFonts w:ascii="Times New Roman" w:hAnsi="Times New Roman"/>
          <w:sz w:val="20"/>
        </w:rPr>
        <w:t xml:space="preserve">” means an amount equal to 85% of the Fair Market Value of an Ordinary Share on the Enrollment Date or on the Exercise Date, whichever is lower; </w:t>
      </w:r>
      <w:r>
        <w:rPr>
          <w:rFonts w:ascii="Times New Roman" w:hAnsi="Times New Roman"/>
          <w:i/>
          <w:sz w:val="20"/>
        </w:rPr>
        <w:t>provided, however</w:t>
      </w:r>
      <w:r>
        <w:rPr>
          <w:rFonts w:ascii="Times New Roman" w:hAnsi="Times New Roman"/>
          <w:sz w:val="20"/>
        </w:rPr>
        <w:t xml:space="preserve">, that the Purchase Price may be determined for subsequent Offering Periods by the Administrator subject to compliance with Section 423 of the Code (or any other Applicable Law) or pursuant to </w:t>
      </w:r>
      <w:r>
        <w:rPr>
          <w:rFonts w:ascii="Times New Roman" w:hAnsi="Times New Roman"/>
          <w:sz w:val="20"/>
          <w:u w:val="single"/>
        </w:rPr>
        <w:t>Section 18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(y) “</w:t>
      </w:r>
      <w:r>
        <w:rPr>
          <w:rFonts w:ascii="Times New Roman" w:hAnsi="Times New Roman"/>
          <w:b/>
          <w:i/>
          <w:sz w:val="20"/>
        </w:rPr>
        <w:t>Subsidiary</w:t>
      </w:r>
      <w:r>
        <w:rPr>
          <w:rFonts w:ascii="Times New Roman" w:hAnsi="Times New Roman"/>
          <w:sz w:val="20"/>
        </w:rPr>
        <w:t xml:space="preserve">” means a “subsidiary corporation,” whether now or hereafter existing, as defined in Section 424(f) of the Code. </w:t>
      </w:r>
    </w:p>
    <w:p>
      <w:pPr>
        <w:pStyle w:val="TextBody"/>
        <w:bidi w:val="0"/>
        <w:spacing w:before="240" w:after="0"/>
        <w:jc w:val="left"/>
        <w:rPr>
          <w:rFonts w:ascii="Times New Roman" w:hAnsi="Times New Roman"/>
          <w:sz w:val="20"/>
        </w:rPr>
      </w:pPr>
      <w:r>
        <w:rPr>
          <w:rFonts w:ascii="Times New Roman" w:hAnsi="Times New Roman"/>
          <w:sz w:val="20"/>
        </w:rPr>
        <w:t>(z) “</w:t>
      </w:r>
      <w:r>
        <w:rPr>
          <w:rFonts w:ascii="Times New Roman" w:hAnsi="Times New Roman"/>
          <w:b/>
          <w:i/>
          <w:sz w:val="20"/>
        </w:rPr>
        <w:t>Trading Day</w:t>
      </w:r>
      <w:r>
        <w:rPr>
          <w:rFonts w:ascii="Times New Roman" w:hAnsi="Times New Roman"/>
          <w:sz w:val="20"/>
        </w:rPr>
        <w:t xml:space="preserve">” means a day on which the national stock exchange upon which the Ordinary Shares are listed is open for trading or, if the Ordinary Shares are not listed on a national stock exchange, a business day as determined by the Administrator in good faith. </w:t>
      </w:r>
    </w:p>
    <w:p>
      <w:pPr>
        <w:pStyle w:val="TextBody"/>
        <w:bidi w:val="0"/>
        <w:spacing w:before="240" w:after="0"/>
        <w:jc w:val="left"/>
        <w:rPr>
          <w:rFonts w:ascii="Times New Roman" w:hAnsi="Times New Roman"/>
          <w:sz w:val="20"/>
        </w:rPr>
      </w:pPr>
      <w:r>
        <w:rPr>
          <w:rFonts w:ascii="Times New Roman" w:hAnsi="Times New Roman"/>
          <w:sz w:val="20"/>
        </w:rPr>
        <w:t>(aa) “</w:t>
      </w:r>
      <w:r>
        <w:rPr>
          <w:rFonts w:ascii="Times New Roman" w:hAnsi="Times New Roman"/>
          <w:b/>
          <w:i/>
          <w:sz w:val="20"/>
        </w:rPr>
        <w:t>Treasury Regulations</w:t>
      </w:r>
      <w:r>
        <w:rPr>
          <w:rFonts w:ascii="Times New Roman" w:hAnsi="Times New Roman"/>
          <w:sz w:val="20"/>
        </w:rPr>
        <w:t xml:space="preserve">” means the Treasury regulations of the Code. Reference to a specific Treasury Regulation or Section of the Code shall include such Treasury Regulation or Section, any valid regulation promulgated under such Section, and any comparable provision of any future legislation or regulation amending, supplementing or superseding such Section or regulation.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Eligibility.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Offering Periods</w:t>
      </w:r>
      <w:r>
        <w:rPr>
          <w:rFonts w:ascii="Times New Roman" w:hAnsi="Times New Roman"/>
          <w:sz w:val="20"/>
        </w:rPr>
        <w:t xml:space="preserve">. Any Eligible Employee on a given Enrollment Date will be eligible to participate in the Plan if he or she was employed by the Company for at least 30 calendar days (unless otherwise determined by the Administrator) immediately preceding the Enrollment Date, subject to the requirements of </w:t>
      </w:r>
      <w:r>
        <w:rPr>
          <w:rFonts w:ascii="Times New Roman" w:hAnsi="Times New Roman"/>
          <w:sz w:val="20"/>
          <w:u w:val="single"/>
        </w:rPr>
        <w:t>Section 5</w:t>
      </w:r>
      <w:r>
        <w:rPr>
          <w:rFonts w:ascii="Times New Roman" w:hAnsi="Times New Roman"/>
          <w:sz w:val="20"/>
        </w:rPr>
        <w:t xml:space="preserve">; </w:t>
      </w:r>
      <w:r>
        <w:rPr>
          <w:rFonts w:ascii="Times New Roman" w:hAnsi="Times New Roman"/>
          <w:i/>
          <w:sz w:val="20"/>
        </w:rPr>
        <w:t>provided, however</w:t>
      </w:r>
      <w:r>
        <w:rPr>
          <w:rFonts w:ascii="Times New Roman" w:hAnsi="Times New Roman"/>
          <w:sz w:val="20"/>
        </w:rPr>
        <w:t xml:space="preserve">, that an Eligible Employee who commences employment with the Company or a Designated Subsidiary following such 30-day period (or such other period as determined by the Administrator) will be eligible to participate in the Plan at the beginning of the next Purchase Period to occur that is at least 30 calendar days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other period as determined by the Administrator) following the commencement of his or her employment with the Company or a Designated Subsidiary. Eligible Employees who do not elect to participate in the Plan on a given Enrollment Date may elect to participate in the Plan at the beginning of any subsequent Purchase Period, as determined by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Non-U.S. Employees</w:t>
      </w:r>
      <w:r>
        <w:rPr>
          <w:rFonts w:ascii="Times New Roman" w:hAnsi="Times New Roman"/>
          <w:sz w:val="20"/>
        </w:rPr>
        <w:t xml:space="preserve">. Employees who are citizens or residents of a non-U.S. jurisdiction (without regard to whether they also are citizens or residents of the United States or resident aliens (within the meaning of Section 7701(b)(1)(A) of the Code)) may be excluded from participation in the Plan or an Offering if the participation of such employees is prohibited under the laws of the applicable jurisdiction or if complying with the laws of the applicable jurisdiction would cause the Plan or an Offering to violate Section 423 of the Code. In addition, as provided in </w:t>
      </w:r>
      <w:r>
        <w:rPr>
          <w:rFonts w:ascii="Times New Roman" w:hAnsi="Times New Roman"/>
          <w:sz w:val="20"/>
          <w:u w:val="single"/>
        </w:rPr>
        <w:t>Section 14</w:t>
      </w:r>
      <w:r>
        <w:rPr>
          <w:rFonts w:ascii="Times New Roman" w:hAnsi="Times New Roman"/>
          <w:sz w:val="20"/>
        </w:rPr>
        <w:t xml:space="preserve">, the Administrator may establish one or more sub-plans of the Plan (which may, but are not required to, comply with the requirements of Section 423 of the Code) to provide benefits to employees of Designated Subsidiaries located outside the United States in a manner that complies with local law. Any such sub-plan will be a component of the Plan and will not be a separate plan.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Limitations</w:t>
      </w:r>
      <w:r>
        <w:rPr>
          <w:rFonts w:ascii="Times New Roman" w:hAnsi="Times New Roman"/>
          <w:sz w:val="20"/>
        </w:rPr>
        <w:t xml:space="preserve">. Any provisions of the Plan to the contrary notwithstanding, no Eligible Employee will be granted an option under the Plan (i) to the extent that, immediately after the grant, such Eligible Employee (or any other person whose stock would be attributed to such Eligible Employee pursuant to Section 424(d) of the Code) would own capital stock of the Company or any Parent or Subsidiary of the Company and/or hold outstanding options to purchase such stock possessing 5% or more of the total combined voting power or value of all classes of the capital stock of the Company or of any Parent or Subsidiary of the Company, or (ii) to the extent that his or her rights to purchase stock under all employee stock purchase plans (as defined in Section 423 of the Code) of the Company or any Parent or Subsidiary of the Company accrues at a rate that exceeds $25,000 worth of stock (determined at the Fair Market Value of the stock at the time such option is granted) for each calendar year in which such option is outstanding at any time, as determined in accordance with Section 423 of the Code and the regulations thereunder.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4.</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Offering Periods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Plan will be implemented by consecutive Offering Periods with new Offering Periods commencing at such times as determined by the Administrator. The Administrator will have the power to change the duration of Offering Periods (including the commencement dates thereof) without shareholder approval.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5.</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Participation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 Eligible Employee may participate in the Plan by (i) submitting to the Company’s Finance department (or its delegate), on or before a date determined by the Administrator prior to an applicable Enrollment Date, a properly completed subscription agreement authorizing Contributions in the form provided by the Administrator for such purpose, or (ii) following an electronic or other enrollment procedure determined by the Administrator.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6.</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Contributions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At the time a Participant enrolls in the Plan pursuant to </w:t>
      </w:r>
      <w:r>
        <w:rPr>
          <w:rFonts w:ascii="Times New Roman" w:hAnsi="Times New Roman"/>
          <w:sz w:val="20"/>
          <w:u w:val="single"/>
        </w:rPr>
        <w:t>Section 5</w:t>
      </w:r>
      <w:r>
        <w:rPr>
          <w:rFonts w:ascii="Times New Roman" w:hAnsi="Times New Roman"/>
          <w:sz w:val="20"/>
        </w:rPr>
        <w:t xml:space="preserve">, such Participant will elect to have payroll deductions made on each pay day or other Contributions (to the extent permitted by the Administrator) made during the Offering Period (or portion thereof) in an amount equal to at least 1% but not exceeding 15% of the Compensation (or such other percentage of Compensation as determined by the Administrator in its sole discretion, prior to the commencement of an applicable Offering Period), that the Participant receives on each pay day during the Offering Period; </w:t>
      </w:r>
      <w:r>
        <w:rPr>
          <w:rFonts w:ascii="Times New Roman" w:hAnsi="Times New Roman"/>
          <w:i/>
          <w:sz w:val="20"/>
        </w:rPr>
        <w:t>provided, however</w:t>
      </w:r>
      <w:r>
        <w:rPr>
          <w:rFonts w:ascii="Times New Roman" w:hAnsi="Times New Roman"/>
          <w:sz w:val="20"/>
        </w:rPr>
        <w:t xml:space="preserve">, that should a pay day occur on an Exercise Date, a Participant will have any payroll deductions made on such day applied to his or her notional account under the subsequent Purchase Period or Offering Period. The maximum permissible Contribution by any Participant for all Offering Periods during any calendar year shall be $25,000. The Administrator, in its sole discretion and to the extent permitted by Section 423 of the Code, may permit all Participants in a specified Offering to contribute amounts to the Plan through payment by cash, check, or other means set forth in the subscription agreement prior to each Exercise Date of each Purchase Period. A Participant’s subscription agreement will remain in effect for successive Offering Periods unless terminated as provided in </w:t>
      </w:r>
      <w:r>
        <w:rPr>
          <w:rFonts w:ascii="Times New Roman" w:hAnsi="Times New Roman"/>
          <w:sz w:val="20"/>
          <w:u w:val="single"/>
        </w:rPr>
        <w:t>Section 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Payroll deductions for a Participant will commence on the first pay day following the Enrollment Date (or such later date on which a Participant enrolls in the Plan pursuant to </w:t>
      </w:r>
      <w:r>
        <w:rPr>
          <w:rFonts w:ascii="Times New Roman" w:hAnsi="Times New Roman"/>
          <w:sz w:val="20"/>
          <w:u w:val="single"/>
        </w:rPr>
        <w:t>Section 5</w:t>
      </w:r>
      <w:r>
        <w:rPr>
          <w:rFonts w:ascii="Times New Roman" w:hAnsi="Times New Roman"/>
          <w:sz w:val="20"/>
        </w:rPr>
        <w:t xml:space="preserve">) and will end on the last pay day prior to the Exercise Date of such Purchase Period to which such authorization is applicable, unless sooner terminated by the Participant as provided in </w:t>
      </w:r>
      <w:r>
        <w:rPr>
          <w:rFonts w:ascii="Times New Roman" w:hAnsi="Times New Roman"/>
          <w:sz w:val="20"/>
          <w:u w:val="single"/>
        </w:rPr>
        <w:t>Section 10</w:t>
      </w:r>
      <w:r>
        <w:rPr>
          <w:rFonts w:ascii="Times New Roman" w:hAnsi="Times New Roman"/>
          <w:sz w:val="20"/>
        </w:rPr>
        <w:t xml:space="preserve">; </w:t>
      </w:r>
      <w:r>
        <w:rPr>
          <w:rFonts w:ascii="Times New Roman" w:hAnsi="Times New Roman"/>
          <w:i/>
          <w:sz w:val="20"/>
        </w:rPr>
        <w:t>provided, however</w:t>
      </w:r>
      <w:r>
        <w:rPr>
          <w:rFonts w:ascii="Times New Roman" w:hAnsi="Times New Roman"/>
          <w:sz w:val="20"/>
        </w:rPr>
        <w:t xml:space="preserve">, that with respect to the first Offering Period, payroll deduction for a Participant will not commence until such time as determined by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(c) All Contributions made for a Participant will be credited to his or her notional account under the Plan and payroll deductions will be made in whole percentages only. Except to the extent permitted by the Administrator pursuant to </w:t>
      </w:r>
      <w:r>
        <w:rPr>
          <w:rFonts w:ascii="Times New Roman" w:hAnsi="Times New Roman"/>
          <w:sz w:val="20"/>
          <w:u w:val="single"/>
        </w:rPr>
        <w:t>Section 6(a)</w:t>
      </w:r>
      <w:r>
        <w:rPr>
          <w:rFonts w:ascii="Times New Roman" w:hAnsi="Times New Roman"/>
          <w:sz w:val="20"/>
        </w:rPr>
        <w:t xml:space="preserve">, a Participant may not make any additional payments into such notional account. </w:t>
      </w:r>
    </w:p>
    <w:p>
      <w:pPr>
        <w:pStyle w:val="TextBody"/>
        <w:bidi w:val="0"/>
        <w:spacing w:before="240" w:after="0"/>
        <w:jc w:val="left"/>
        <w:rPr>
          <w:rFonts w:ascii="Times New Roman" w:hAnsi="Times New Roman"/>
          <w:sz w:val="20"/>
        </w:rPr>
      </w:pPr>
      <w:r>
        <w:rPr>
          <w:rFonts w:ascii="Times New Roman" w:hAnsi="Times New Roman"/>
          <w:sz w:val="20"/>
        </w:rPr>
        <w:t xml:space="preserve">(d) A Participant may discontinue his or her participation in the Plan as provided in </w:t>
      </w:r>
      <w:r>
        <w:rPr>
          <w:rFonts w:ascii="Times New Roman" w:hAnsi="Times New Roman"/>
          <w:sz w:val="20"/>
          <w:u w:val="single"/>
        </w:rPr>
        <w:t>Section 10</w:t>
      </w:r>
      <w:r>
        <w:rPr>
          <w:rFonts w:ascii="Times New Roman" w:hAnsi="Times New Roman"/>
          <w:sz w:val="20"/>
        </w:rPr>
        <w:t xml:space="preserve">. Participants shall not be permitted to increase or to otherwise decrease their rates of Contributions during a Purchase Period unless otherwise determined by the Administrator in its sole discretion; </w:t>
      </w:r>
      <w:r>
        <w:rPr>
          <w:rFonts w:ascii="Times New Roman" w:hAnsi="Times New Roman"/>
          <w:i/>
          <w:sz w:val="20"/>
        </w:rPr>
        <w:t>provided, however</w:t>
      </w:r>
      <w:r>
        <w:rPr>
          <w:rFonts w:ascii="Times New Roman" w:hAnsi="Times New Roman"/>
          <w:sz w:val="20"/>
        </w:rPr>
        <w:t xml:space="preserve">, that Participants shall be permitted to increase or decrease their rates of Contributions effective as of the beginning of each Purchase Period.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the foregoing, to the extent necessary to comply with Section 423(b)(8) of the Code, a Participant’s Contributions may be decreased to 0% at any time during a Purchase Period. Subject to Section 423(b)(8) of the Code, Contributions will recommence at the rate originally elected by the Participant effective as of the beginning of the first Purchase Period scheduled to end in the following calendar year, unless terminated by the Participant as provided in </w:t>
      </w:r>
      <w:r>
        <w:rPr>
          <w:rFonts w:ascii="Times New Roman" w:hAnsi="Times New Roman"/>
          <w:sz w:val="20"/>
          <w:u w:val="single"/>
        </w:rPr>
        <w:t>Section 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At the time the option under the Plan is exercised, in whole or in part, or at the time some or all of the Ordinary Shares issued under the Plan is disposed of (or any other time that a taxable event related to the Plan occurs), the Participant must make adequate provision for the Company’s or Employer’s federal, state, local, or any other tax liability payable to any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including taxes imposed by jurisdictions outside of the United States, national insurance, social security, or other tax withholding obligations, if any, that arise upon the exercise of the option or the disposition of the Ordinary Shares (or any other time that a taxable event related to the Plan occurs). At any time, the Company or the Employer may, but will not be obligated to, withhold from the Participant’s compensation the amount necessary for the Company or the Employer to meet applicable withholding obligations, including any withholding required to make available to the Company or the Employer any tax deductions or benefits attributable to sale or early disposition of Ordinary Shares by the Eligible Employee. In addition, the Company or the Employer may, but will not be obligated to, withhold from the proceeds of the sale of Ordinary Shares or any other method of withholding the Company or the Employer deems appropriate to the extent permitted by Treasury Regulation Section 1.423-2(f).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7.</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Grant of Option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the Enrollment Date of each Offering Period, each Eligible Employee participating in such Offering Period (or any Purchase Period within such Offering Period) will be granted an option to purchase on each Exercise Date during such Offering Period (at the applicable Purchase Price) up to a number of Ordinary Shares determined by dividing (i) such Eligible Employee’s Contributions accumulated prior to such Exercise Date and retained in the Eligible Employee’s notional account as of the Exercise Date by (ii) the applicable Purchase Price; </w:t>
      </w:r>
      <w:r>
        <w:rPr>
          <w:rFonts w:ascii="Times New Roman" w:hAnsi="Times New Roman"/>
          <w:i/>
          <w:sz w:val="20"/>
        </w:rPr>
        <w:t>provided, however</w:t>
      </w:r>
      <w:r>
        <w:rPr>
          <w:rFonts w:ascii="Times New Roman" w:hAnsi="Times New Roman"/>
          <w:sz w:val="20"/>
        </w:rPr>
        <w:t xml:space="preserve">, that in no event will an Eligible Employee be permitted to purchase during each Purchase Period more than 2,500 Ordinary Shares (subject to any adjustment pursuant to </w:t>
      </w:r>
      <w:r>
        <w:rPr>
          <w:rFonts w:ascii="Times New Roman" w:hAnsi="Times New Roman"/>
          <w:sz w:val="20"/>
          <w:u w:val="single"/>
        </w:rPr>
        <w:t>Section 18</w:t>
      </w:r>
      <w:r>
        <w:rPr>
          <w:rFonts w:ascii="Times New Roman" w:hAnsi="Times New Roman"/>
          <w:sz w:val="20"/>
        </w:rPr>
        <w:t xml:space="preserve">); </w:t>
      </w:r>
      <w:r>
        <w:rPr>
          <w:rFonts w:ascii="Times New Roman" w:hAnsi="Times New Roman"/>
          <w:i/>
          <w:sz w:val="20"/>
        </w:rPr>
        <w:t>provided, further</w:t>
      </w:r>
      <w:r>
        <w:rPr>
          <w:rFonts w:ascii="Times New Roman" w:hAnsi="Times New Roman"/>
          <w:sz w:val="20"/>
        </w:rPr>
        <w:t xml:space="preserve">, that such purchase will be subject to the limitations set forth in </w:t>
      </w:r>
      <w:r>
        <w:rPr>
          <w:rFonts w:ascii="Times New Roman" w:hAnsi="Times New Roman"/>
          <w:sz w:val="20"/>
          <w:u w:val="single"/>
        </w:rPr>
        <w:t>Sections 3(c)</w:t>
      </w:r>
      <w:r>
        <w:rPr>
          <w:rFonts w:ascii="Times New Roman" w:hAnsi="Times New Roman"/>
          <w:sz w:val="20"/>
        </w:rPr>
        <w:t xml:space="preserve"> and </w:t>
      </w:r>
      <w:r>
        <w:rPr>
          <w:rFonts w:ascii="Times New Roman" w:hAnsi="Times New Roman"/>
          <w:sz w:val="20"/>
          <w:u w:val="single"/>
        </w:rPr>
        <w:t>13</w:t>
      </w:r>
      <w:r>
        <w:rPr>
          <w:rFonts w:ascii="Times New Roman" w:hAnsi="Times New Roman"/>
          <w:sz w:val="20"/>
        </w:rPr>
        <w:t xml:space="preserve">. The Eligible Employee may accept the grant of such option by electing to participate in the Plan in accordance with the requirements of </w:t>
      </w:r>
      <w:r>
        <w:rPr>
          <w:rFonts w:ascii="Times New Roman" w:hAnsi="Times New Roman"/>
          <w:sz w:val="20"/>
          <w:u w:val="single"/>
        </w:rPr>
        <w:t>Section 5</w:t>
      </w:r>
      <w:r>
        <w:rPr>
          <w:rFonts w:ascii="Times New Roman" w:hAnsi="Times New Roman"/>
          <w:sz w:val="20"/>
        </w:rPr>
        <w:t xml:space="preserve">. The Administrator may, for future Offering Periods, increase or decrease, in its absolute discretion, the maximum number of Ordinary Shares that an Eligible Employee may purchase during each Purchase Period of an Offering Period. Exercise of the option will occur as provided in </w:t>
      </w:r>
      <w:r>
        <w:rPr>
          <w:rFonts w:ascii="Times New Roman" w:hAnsi="Times New Roman"/>
          <w:sz w:val="20"/>
          <w:u w:val="single"/>
        </w:rPr>
        <w:t>Section 8</w:t>
      </w:r>
      <w:r>
        <w:rPr>
          <w:rFonts w:ascii="Times New Roman" w:hAnsi="Times New Roman"/>
          <w:sz w:val="20"/>
        </w:rPr>
        <w:t xml:space="preserve">, unless the Participant has withdrawn pursuant to </w:t>
      </w:r>
      <w:r>
        <w:rPr>
          <w:rFonts w:ascii="Times New Roman" w:hAnsi="Times New Roman"/>
          <w:sz w:val="20"/>
          <w:u w:val="single"/>
        </w:rPr>
        <w:t>Section 10</w:t>
      </w:r>
      <w:r>
        <w:rPr>
          <w:rFonts w:ascii="Times New Roman" w:hAnsi="Times New Roman"/>
          <w:sz w:val="20"/>
        </w:rPr>
        <w:t xml:space="preserve">. The option will expire on the last day of the Offering Period.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8.</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Exercise of Option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Unless a Participant withdraws from the Plan as provided in </w:t>
      </w:r>
      <w:r>
        <w:rPr>
          <w:rFonts w:ascii="Times New Roman" w:hAnsi="Times New Roman"/>
          <w:sz w:val="20"/>
          <w:u w:val="single"/>
        </w:rPr>
        <w:t>Section 10</w:t>
      </w:r>
      <w:r>
        <w:rPr>
          <w:rFonts w:ascii="Times New Roman" w:hAnsi="Times New Roman"/>
          <w:sz w:val="20"/>
        </w:rPr>
        <w:t xml:space="preserve">, such Participant’s option for the purchase of Ordinary Shares will be exercised automatically on the Exercise Date, and the maximum number of full shares subject to the option will be purchased for such Participant at the applicable Purchase Price with the accumulated Contributions from his or her notional account. No fractional Ordinary Shares will be purchased; unless determined by the Administrator, any Contributions accumulated in a Participant’s notional account that are not sufficient to purchase a full share will be retained in the Participant’s notional account for the subsequent Purchase Period or Offering Period, subject to earlier withdrawal by the Participant as provided in </w:t>
      </w:r>
      <w:r>
        <w:rPr>
          <w:rFonts w:ascii="Times New Roman" w:hAnsi="Times New Roman"/>
          <w:sz w:val="20"/>
          <w:u w:val="single"/>
        </w:rPr>
        <w:t>Section 10</w:t>
      </w:r>
      <w:r>
        <w:rPr>
          <w:rFonts w:ascii="Times New Roman" w:hAnsi="Times New Roman"/>
          <w:sz w:val="20"/>
        </w:rPr>
        <w:t xml:space="preserve">. Any other funds left over in a Participant’s notional account after the Exercise Date will be returned to the Participant (without interest thereon, except as otherwise required under local laws, as further set forth in </w:t>
      </w:r>
      <w:r>
        <w:rPr>
          <w:rFonts w:ascii="Times New Roman" w:hAnsi="Times New Roman"/>
          <w:sz w:val="20"/>
          <w:u w:val="single"/>
        </w:rPr>
        <w:t>Section 12</w:t>
      </w:r>
      <w:r>
        <w:rPr>
          <w:rFonts w:ascii="Times New Roman" w:hAnsi="Times New Roman"/>
          <w:sz w:val="20"/>
        </w:rPr>
        <w:t xml:space="preserve">). During a Participant’s lifetime, a Participant’s option to purchase shares hereunder is exercisable only by him or 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the Administrator determines that, on a given Exercise Date, the number of Ordinary Shares with respect to which options are to be exercised may exceed (i) the number of Ordinary Shares that were available for sale under the Plan on the Enrollment Date of the applicable Offering Period, or (ii) the number of Ordinary Shares available for sale under the Plan on such Exercise Date, the Administrator may in its sole discretion (x) provide that the Company will make a pro rata allocation of the Ordinary Shares available for purchase on such Enrollment Date or Exercise Date, as applicable, in as uniform a manner as will be practicable and as it will determine in its sole discretion to be equitable among all Participants exercising options to purchase Ordinary Shares on such Exercise Date, and continue all Offering Periods then in effect, or (y) provide that the Company will make a pro rata allocation of the shares available for purchase on such Enrollment Date or Exercise Date, as applicable, in as uniform a manner as will be practicable and as it will determine in its sole discretion to be equitable among all Participants exercising options to purchase Ordinary Shares on such Exercise Date, and terminate any or all Offering Periods then in effect pursuant to </w:t>
      </w:r>
      <w:r>
        <w:rPr>
          <w:rFonts w:ascii="Times New Roman" w:hAnsi="Times New Roman"/>
          <w:sz w:val="20"/>
          <w:u w:val="single"/>
        </w:rPr>
        <w:t>Section 19</w:t>
      </w:r>
      <w:r>
        <w:rPr>
          <w:rFonts w:ascii="Times New Roman" w:hAnsi="Times New Roman"/>
          <w:sz w:val="20"/>
        </w:rPr>
        <w:t xml:space="preserve">. The Company may make a pro rata allocation of the shares available on the Enrollment Date of any applicable Offering Period pursuant to the preceding sentence, notwithstanding any authorization of additional shares for issuance under the Plan by the Company’s shareholders subsequent to such Enrollment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9.</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Delivery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soon as reasonably practicable after each Exercise Date on which a purchase of Ordinary Shares occurs, the Company will arrange the delivery to each Participant of the shares purchased upon exercise of his or her option in a form determined by the Administrator (in its sole discretion) and pursuant to rules established by the Administrator. The Company may permit or require that shares be deposited directly with a broker designated by the Company or to a designated agent of the Company, and the Company may utilize electronic or automated methods of share transfer. The Company may require that shares be retained with such broker or agent for a designated period of time and/or may establish other procedures to permit tracking of disqualifying dispositions of such shares. No Participant will have any voting, dividend, or other shareholder rights with respect to Ordinary Shares subject to any option granted under the Plan until such shares have been purchased and delivered to the Participant as provided in this </w:t>
      </w:r>
      <w:r>
        <w:rPr>
          <w:rFonts w:ascii="Times New Roman" w:hAnsi="Times New Roman"/>
          <w:sz w:val="20"/>
          <w:u w:val="single"/>
        </w:rPr>
        <w:t xml:space="preserve">Section 9 </w:t>
      </w:r>
      <w:r>
        <w:rPr>
          <w:rFonts w:ascii="Times New Roman" w:hAnsi="Times New Roman"/>
          <w:sz w:val="20"/>
        </w:rPr>
        <w:t xml:space="preserve">and the Participant’s name has been entered in the register of members of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10.</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Withdrawal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Participant may withdraw all, but not less than all, the Contributions credited to his or her notional account and not yet used to exercise his or her option under the Plan at any time by (a) submitting to the Company’s Finance department (or its delegate) a written notice of withdrawal in the form determined by the Administrator for such purpose, or (b) following an electronic or other withdrawal procedure determined by the Administrator. All the Participant’s Contributions credited to his or her notional account will be paid to such Participant as soon as reasonably practicable after receipt of notice of withdrawal and such Participant’s option for the Offering Period will be automatically terminated, and no further Contributions for the purchase of shares will be made for such Offering Period. If a Participant withdraws from an Offering Period, Contributions will not resume at the beginning of the succeeding Offering Period, unless the Participant re-enrolls in the Plan in accordance with the provisions of </w:t>
      </w:r>
      <w:r>
        <w:rPr>
          <w:rFonts w:ascii="Times New Roman" w:hAnsi="Times New Roman"/>
          <w:sz w:val="20"/>
          <w:u w:val="single"/>
        </w:rPr>
        <w:t>Section 5</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11.</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Termination of Employment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Upon a Participant’s ceasing to be an Eligible Employee, for any reason, he or she will be deemed to have elected to withdraw from the Plan and the Contributions credited to such Participant’s notional account during the Offering Period but not yet used to purchase Ordinary Shares under the Plan will be returned to such Participant or, in the case of his or her death, to the person or persons entitled thereto under </w:t>
      </w:r>
      <w:r>
        <w:rPr>
          <w:rFonts w:ascii="Times New Roman" w:hAnsi="Times New Roman"/>
          <w:sz w:val="20"/>
          <w:u w:val="single"/>
        </w:rPr>
        <w:t>Section 15</w:t>
      </w:r>
      <w:r>
        <w:rPr>
          <w:rFonts w:ascii="Times New Roman" w:hAnsi="Times New Roman"/>
          <w:sz w:val="20"/>
        </w:rPr>
        <w:t xml:space="preserve">, and such Participant’s option will be automatically terminated. In no event may a Participant be granted an option under the Plan following his or her termination of employment unless such Participant subsequently becomes an Eligible Employee again.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Interest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 interest will accrue on the Contributions of a Participant in the Plan, except as may be required by Applicable Law, as determined by the Company, and if so required by the laws of a particular jurisdiction, shall apply to all Participants in the relevant Offering except to the extent otherwise permitted by Treasury Regulation Section 1.423-2(f).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Shares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Subject to adjustment upon changes in capitalization of the Company as provided in </w:t>
      </w:r>
      <w:r>
        <w:rPr>
          <w:rFonts w:ascii="Times New Roman" w:hAnsi="Times New Roman"/>
          <w:sz w:val="20"/>
          <w:u w:val="single"/>
        </w:rPr>
        <w:t>Section 18</w:t>
      </w:r>
      <w:r>
        <w:rPr>
          <w:rFonts w:ascii="Times New Roman" w:hAnsi="Times New Roman"/>
          <w:sz w:val="20"/>
        </w:rPr>
        <w:t xml:space="preserve"> hereof, the maximum number of Ordinary Shares that will be made available for sale under the Plan shall be equal to (i) 619,989, </w:t>
      </w:r>
      <w:r>
        <w:rPr>
          <w:rFonts w:ascii="Times New Roman" w:hAnsi="Times New Roman"/>
          <w:i/>
          <w:sz w:val="20"/>
        </w:rPr>
        <w:t>plus</w:t>
      </w:r>
      <w:r>
        <w:rPr>
          <w:rFonts w:ascii="Times New Roman" w:hAnsi="Times New Roman"/>
          <w:sz w:val="20"/>
        </w:rPr>
        <w:t xml:space="preserve"> (ii) any Ordinary Shares added as a result of the following sentence (collectively, the “</w:t>
      </w:r>
      <w:r>
        <w:rPr>
          <w:rFonts w:ascii="Times New Roman" w:hAnsi="Times New Roman"/>
          <w:b/>
          <w:i/>
          <w:sz w:val="20"/>
        </w:rPr>
        <w:t>Share Pool</w:t>
      </w:r>
      <w:r>
        <w:rPr>
          <w:rFonts w:ascii="Times New Roman" w:hAnsi="Times New Roman"/>
          <w:sz w:val="20"/>
        </w:rPr>
        <w:t xml:space="preserve">”). The Share Pool will automatically increase on January 1 of each year beginning in 2027 and ending with a final increase on January 1, 2036 in an amount equal to the lesser of (x) 1,000,000 or (y) 1% of the Outstanding Ordinary Shares on the preceding December 31; </w:t>
      </w:r>
      <w:r>
        <w:rPr>
          <w:rFonts w:ascii="Times New Roman" w:hAnsi="Times New Roman"/>
          <w:i/>
          <w:sz w:val="20"/>
        </w:rPr>
        <w:t>provided, however</w:t>
      </w:r>
      <w:r>
        <w:rPr>
          <w:rFonts w:ascii="Times New Roman" w:hAnsi="Times New Roman"/>
          <w:sz w:val="20"/>
        </w:rPr>
        <w:t xml:space="preserve">, that the Administrator may provide that there will be no January 1 increase in the Share Pool for any such year or that the increase in the Share Pool for any such year will be a smaller number of Ordinary Shares than would otherwise occur pursuant to this sentence. </w:t>
      </w:r>
    </w:p>
    <w:p>
      <w:pPr>
        <w:pStyle w:val="TextBody"/>
        <w:bidi w:val="0"/>
        <w:spacing w:before="240" w:after="0"/>
        <w:jc w:val="left"/>
        <w:rPr>
          <w:rFonts w:ascii="Times New Roman" w:hAnsi="Times New Roman"/>
          <w:sz w:val="20"/>
        </w:rPr>
      </w:pPr>
      <w:r>
        <w:rPr>
          <w:rFonts w:ascii="Times New Roman" w:hAnsi="Times New Roman"/>
          <w:sz w:val="20"/>
        </w:rPr>
        <w:t xml:space="preserve">(b) Until the shares are issued (as evidenced by the appropriate entry in the register of members of the Company), a Participant will only have the rights of an unsecured creditor with respect to such shares, and no right to vote or receive dividends or any other rights as a shareholder will exist with respect to such shares. </w:t>
      </w:r>
    </w:p>
    <w:p>
      <w:pPr>
        <w:pStyle w:val="TextBody"/>
        <w:bidi w:val="0"/>
        <w:spacing w:before="240" w:after="0"/>
        <w:jc w:val="left"/>
        <w:rPr>
          <w:rFonts w:ascii="Times New Roman" w:hAnsi="Times New Roman"/>
          <w:sz w:val="20"/>
        </w:rPr>
      </w:pPr>
      <w:r>
        <w:rPr>
          <w:rFonts w:ascii="Times New Roman" w:hAnsi="Times New Roman"/>
          <w:sz w:val="20"/>
        </w:rPr>
        <w:t xml:space="preserve">(c) Ordinary Shares to be delivered to a Participant under the Plan will be registered in the name of the Participant, or in the name of the Participant and his or her spouse, in the register of members of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Administration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Plan shall be administered by the Administrator. The Board shall fill vacancies on, and from time to time may remove or add members to, the Administrator. Any power of the Administrator may also be exercised by the Board. The Administrator will have full and exclusive discretionary authority to construe, interpret, and apply the terms of the Plan, to designate separate Offerings under the Plan, to determine eligibility, to adjudicate all disputed claims filed under the Plan, and to establish such procedures that it deems necessary for the administration of the Plan (including,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without limitation, to adopt such procedures and sub-plans as are necessary or appropriate to permit the participation in the Plan by employees who are foreign nationals or employed outside the United States, the terms of which sub-plans may take precedence over other provisions of this Plan, with the exception of </w:t>
      </w:r>
      <w:r>
        <w:rPr>
          <w:rFonts w:ascii="Times New Roman" w:hAnsi="Times New Roman"/>
          <w:sz w:val="20"/>
          <w:u w:val="single"/>
        </w:rPr>
        <w:t>Section 13(a)</w:t>
      </w:r>
      <w:r>
        <w:rPr>
          <w:rFonts w:ascii="Times New Roman" w:hAnsi="Times New Roman"/>
          <w:sz w:val="20"/>
        </w:rPr>
        <w:t xml:space="preserve">, but unless otherwise superseded by the terms of such sub-plan, the provisions of this Plan shall govern the operation of such sub-plan). Unless otherwise determined by the Administrator, the employees eligible to participate in each sub-plan will participate in a separate Offering. Without limiting the generality of the foregoing, the Administrator is specifically authorized to adopt rules and procedures regarding eligibility to participate, the definition of Compensation, handling of Contributions, making of Contributions to the Plan (including, without limitation, in forms other than payroll deductions), establishment of bank or trust accounts to hold Contributions, payment of interest, conversion of local currency, obligations to pay payroll tax, determination of beneficiary designation requirements, withholding procedures, and handling of share certificates that vary with applicable local requirements. The Administrator also is authorized to determine that, to the extent permitted by Treasury Regulation Section 1.423-2(f), the terms of an option granted under the Plan or an Offering to citizens or residents of a non-U.S. jurisdiction will be less favorable than the terms of options granted under the Plan or the same Offering to employees resident solely in the United States. The Administrator hereby delegates to and designates the most senior officer in the Finance Department of the Company (or such other officer with similar authority), and to his or her delegates or designates, the authority to assist the Administrator in the day-to-day administration of the Plan. The Administrator may also delegate some or all of its responsibilities to one or more other persons (which may include Company personnel) and, to the extent there has been any such delegation, any reference in the Plan to the Administrator shall include the delegate of the Administrator. Every finding, decision, and determination made by the Administrator will, to the full extent permitted by Applicable Laws, be final and binding upon all parties.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15.</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Designation of Beneficiary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If permitted by the Administrator, a Participant may file a designation of a beneficiary who is to receive any Ordinary Shares and cash, if any, from the Participant’s notional account under the Plan in the event of such Participant’s death subsequent to an Exercise Date on which the option is exercised but prior to delivery to such Participant of such shares and cash. In addition, if permitted by the Administrator, a Participant may file a designation of a beneficiary who is to receive any cash from the Participant’s notional account under the Plan in the event of such Participant’s death prior to exercise of the option. If a Participant is married and the designated beneficiary is not the spouse, spousal consent will be required for such designation to be effective. </w:t>
      </w:r>
    </w:p>
    <w:p>
      <w:pPr>
        <w:pStyle w:val="TextBody"/>
        <w:bidi w:val="0"/>
        <w:spacing w:before="240" w:after="0"/>
        <w:jc w:val="left"/>
        <w:rPr>
          <w:rFonts w:ascii="Times New Roman" w:hAnsi="Times New Roman"/>
          <w:sz w:val="20"/>
        </w:rPr>
      </w:pPr>
      <w:r>
        <w:rPr>
          <w:rFonts w:ascii="Times New Roman" w:hAnsi="Times New Roman"/>
          <w:sz w:val="20"/>
        </w:rPr>
        <w:t xml:space="preserve">(b) Such designation of beneficiary may be changed by the Participant at any time by notice in a form determined by the Administrator. In the event of the death of a Participant and in the absence of a beneficiary validly designated under the Plan who is living at the time of such Participant’s death, the Company will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All beneficiary designations will be in such form and manner as the Administrator may designate from time to time. Notwithstanding </w:t>
      </w:r>
      <w:r>
        <w:rPr>
          <w:rFonts w:ascii="Times New Roman" w:hAnsi="Times New Roman"/>
          <w:sz w:val="20"/>
          <w:u w:val="single"/>
        </w:rPr>
        <w:t>Sections 15(a)</w:t>
      </w:r>
      <w:r>
        <w:rPr>
          <w:rFonts w:ascii="Times New Roman" w:hAnsi="Times New Roman"/>
          <w:sz w:val="20"/>
        </w:rPr>
        <w:t xml:space="preserve"> and </w:t>
      </w:r>
      <w:r>
        <w:rPr>
          <w:rFonts w:ascii="Times New Roman" w:hAnsi="Times New Roman"/>
          <w:sz w:val="20"/>
          <w:u w:val="single"/>
        </w:rPr>
        <w:t>15(b)</w:t>
      </w:r>
      <w:r>
        <w:rPr>
          <w:rFonts w:ascii="Times New Roman" w:hAnsi="Times New Roman"/>
          <w:sz w:val="20"/>
        </w:rPr>
        <w:t xml:space="preserve">, the Company and/or the Administrator may decide not to permit such designations by Participants in non-U.S. jurisdictions to the extent permitted by Treasury Regulation Section 1.423-2(f).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Transferability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Neither Contributions credited to a Participant’s notional account nor any rights with regard to the exercise of an option or to receive Ordinary Shares under the Plan may be assigned, transferred, pledged, or otherwise disposed of in any way (other than by will, the laws of descent and distribution or as provided in </w:t>
      </w:r>
      <w:r>
        <w:rPr>
          <w:rFonts w:ascii="Times New Roman" w:hAnsi="Times New Roman"/>
          <w:sz w:val="20"/>
          <w:u w:val="single"/>
        </w:rPr>
        <w:t>Section 15</w:t>
      </w:r>
      <w:r>
        <w:rPr>
          <w:rFonts w:ascii="Times New Roman" w:hAnsi="Times New Roman"/>
          <w:sz w:val="20"/>
        </w:rPr>
        <w:t xml:space="preserve">) by the Participant. Any such attempt at assignment, transfer, pledge, or other disposition will be without effect, except that the Company may treat such act as an election to withdraw funds from an Offering Period in accordance with </w:t>
      </w:r>
      <w:r>
        <w:rPr>
          <w:rFonts w:ascii="Times New Roman" w:hAnsi="Times New Roman"/>
          <w:sz w:val="20"/>
          <w:u w:val="single"/>
        </w:rPr>
        <w:t>Section 10</w:t>
      </w:r>
      <w:r>
        <w:rPr>
          <w:rFonts w:ascii="Times New Roman" w:hAnsi="Times New Roman"/>
          <w:sz w:val="20"/>
        </w:rPr>
        <w:t xml:space="preserve"> hereof.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17.</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Use of Funds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may use all Contributions received or held by it under the Plan for any corporate purpose, and the Company will not be obligated to segregate such Contributions except under Offerings in which applicable local law requires that Contributions to the Plan by Participants be segregated from the Company’s general corporate funds and/or deposited with an independent third party for Participants in non-U.S. jurisdictions. Until Ordinary Shares are issued, Participants will only have the rights of an unsecured creditor with respect to such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18.</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Adjustments, Dissolution, Liquidation, Merger or Other Corporate Transaction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Adjustments</w:t>
      </w:r>
      <w:r>
        <w:rPr>
          <w:rFonts w:ascii="Times New Roman" w:hAnsi="Times New Roman"/>
          <w:sz w:val="20"/>
        </w:rPr>
        <w:t xml:space="preserve">. In the event that any dividend or other distribution (whether in the form of cash, Ordinary Shares, other securities, or other property), recapitalization, share split, reverse share split, reorganization, merger, consolidation, split-up, spin-off, combination, repurchase, or exchange of Ordinary Shares or other securities of the Company, or other change in the corporate structure of the Company affecting the Ordinary Shares occurs, the Administrator, in order to prevent dilution or enlargement of the benefits or potential benefits intended to be made available under the Plan, will, in such manner as it may deem equitable, adjust the number and class of Ordinary Shares that may be delivered under the Plan, the Purchase Price per share and the number of Ordinary Shares covered by each option under the Plan that has not yet been exercised, and the numerical limits of </w:t>
      </w:r>
      <w:r>
        <w:rPr>
          <w:rFonts w:ascii="Times New Roman" w:hAnsi="Times New Roman"/>
          <w:sz w:val="20"/>
          <w:u w:val="single"/>
        </w:rPr>
        <w:t>Sections 7</w:t>
      </w:r>
      <w:r>
        <w:rPr>
          <w:rFonts w:ascii="Times New Roman" w:hAnsi="Times New Roman"/>
          <w:sz w:val="20"/>
        </w:rPr>
        <w:t xml:space="preserve"> and </w:t>
      </w:r>
      <w:r>
        <w:rPr>
          <w:rFonts w:ascii="Times New Roman" w:hAnsi="Times New Roman"/>
          <w:sz w:val="20"/>
          <w:u w:val="single"/>
        </w:rPr>
        <w:t>13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Dissolution or Liquidation</w:t>
      </w:r>
      <w:r>
        <w:rPr>
          <w:rFonts w:ascii="Times New Roman" w:hAnsi="Times New Roman"/>
          <w:sz w:val="20"/>
        </w:rPr>
        <w:t xml:space="preserve">. In the event of the proposed dissolution or liquidation of the Company, any Offering Period then in progress will be shortened by setting a New Exercise Date, and will terminate immediately prior to the consummation of such proposed dissolution or liquidation, unless provided otherwise by the Administrator. The New Exercise Date will be before the date of the Company’s proposed dissolution or liquidation.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w:t>
      </w:r>
      <w:r>
        <w:rPr>
          <w:rFonts w:ascii="Times New Roman" w:hAnsi="Times New Roman"/>
          <w:sz w:val="20"/>
          <w:u w:val="single"/>
        </w:rPr>
        <w:t>Section 10</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Merger or Other Corporate Transaction</w:t>
      </w:r>
      <w:r>
        <w:rPr>
          <w:rFonts w:ascii="Times New Roman" w:hAnsi="Times New Roman"/>
          <w:sz w:val="20"/>
        </w:rPr>
        <w:t xml:space="preserve">. In the event of a merger, sale, or other similar corporate transaction involving the Company, each outstanding option will be assumed or an equivalent option substituted by the successor corporation or a Parent or Subsidiary of the successor corporation. If the successor corporation refuses to assume or substitute for the option, the Offering Period with respect to which such option relates will be shortened by setting a New Exercise Date on which such Offering Period shall end. The New Exercise Date will occur before the date of the Company’s proposed merger, sale, or other similar corporate transaction.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w:t>
      </w:r>
      <w:r>
        <w:rPr>
          <w:rFonts w:ascii="Times New Roman" w:hAnsi="Times New Roman"/>
          <w:sz w:val="20"/>
          <w:u w:val="single"/>
        </w:rPr>
        <w:t>Section 10</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19.</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Amendment or Termination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The Administrator, in its sole discretion, may amend, suspend, or terminate the Plan, or any part thereof, at any time and for any reason. If the Plan is terminated, the Administrator, in its discretion, may elect to terminate all outstanding Offering Periods either immediately or upon completion of the purchase of Ordinary Shares on the next Exercise Date (which may be sooner than originally scheduled, if determined by the Administrator in its discretion), or may elect to permit Offering Periods to expire in accordance with their terms (and subject to any adjustment pursuant to </w:t>
      </w:r>
      <w:r>
        <w:rPr>
          <w:rFonts w:ascii="Times New Roman" w:hAnsi="Times New Roman"/>
          <w:sz w:val="20"/>
          <w:u w:val="single"/>
        </w:rPr>
        <w:t>Section 18</w:t>
      </w:r>
      <w:r>
        <w:rPr>
          <w:rFonts w:ascii="Times New Roman" w:hAnsi="Times New Roman"/>
          <w:sz w:val="20"/>
        </w:rPr>
        <w:t xml:space="preserve">). If the Offering Periods are terminated prior to expiration, all amounts then credited to Participants’ notional accounts that have not been used to purchase Ordinary Shares will be returned to the Participants (without interest thereon, except as otherwise required under local laws, as further set forth in </w:t>
      </w:r>
      <w:r>
        <w:rPr>
          <w:rFonts w:ascii="Times New Roman" w:hAnsi="Times New Roman"/>
          <w:sz w:val="20"/>
          <w:u w:val="single"/>
        </w:rPr>
        <w:t>Section 12</w:t>
      </w:r>
      <w:r>
        <w:rPr>
          <w:rFonts w:ascii="Times New Roman" w:hAnsi="Times New Roman"/>
          <w:sz w:val="20"/>
        </w:rPr>
        <w:t xml:space="preserve">) as soon as administratively practicable. </w:t>
      </w:r>
    </w:p>
    <w:p>
      <w:pPr>
        <w:pStyle w:val="TextBody"/>
        <w:bidi w:val="0"/>
        <w:spacing w:before="240" w:after="0"/>
        <w:jc w:val="left"/>
        <w:rPr>
          <w:rFonts w:ascii="Times New Roman" w:hAnsi="Times New Roman"/>
          <w:sz w:val="20"/>
        </w:rPr>
      </w:pPr>
      <w:r>
        <w:rPr>
          <w:rFonts w:ascii="Times New Roman" w:hAnsi="Times New Roman"/>
          <w:sz w:val="20"/>
        </w:rPr>
        <w:t xml:space="preserve">(b) Without shareholder consent and without limiting </w:t>
      </w:r>
      <w:r>
        <w:rPr>
          <w:rFonts w:ascii="Times New Roman" w:hAnsi="Times New Roman"/>
          <w:sz w:val="20"/>
          <w:u w:val="single"/>
        </w:rPr>
        <w:t>Section 19(a)</w:t>
      </w:r>
      <w:r>
        <w:rPr>
          <w:rFonts w:ascii="Times New Roman" w:hAnsi="Times New Roman"/>
          <w:sz w:val="20"/>
        </w:rPr>
        <w:t xml:space="preserve">, the Administrator will be entitled to change the Offering Periods or Purchase Periods, designate separate Offerings, limit the frequency and/or number of changes in the amount withheld during an Offering Period, establish the exchange ratio applicable to amounts withheld in a currency other than U.S. dollars, permit payroll withholding in excess of the amount designated by a Participant in order to adjust for delays or mistakes in the Company’s processing of properly completed withholding elections, establish reasonable waiting and adjustment periods and/or accounting and crediting procedures to ensure that amounts applied toward the purchase of Ordinary Shares for each Participant properly correspond with Contribution amounts, and establish such other limitations or procedures as the Administrator determines in its sole discretion advisable that are consistent with the Plan.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the Administrator determines that the ongoing operation of the Plan may result in unfavorable financial accounting consequences, the Administrator may, in its discretion and, to the extent necessary or desirable, modify, amend, or terminate the Plan to reduce or eliminate such accounting consequence including, but not limited to: </w:t>
      </w:r>
    </w:p>
    <w:p>
      <w:pPr>
        <w:pStyle w:val="TextBody"/>
        <w:bidi w:val="0"/>
        <w:spacing w:before="120" w:after="0"/>
        <w:jc w:val="left"/>
        <w:rPr>
          <w:rFonts w:ascii="Times New Roman" w:hAnsi="Times New Roman"/>
          <w:sz w:val="20"/>
        </w:rPr>
      </w:pPr>
      <w:r>
        <w:rPr>
          <w:rFonts w:ascii="Times New Roman" w:hAnsi="Times New Roman"/>
          <w:sz w:val="20"/>
        </w:rPr>
        <w:t xml:space="preserve">(i) amending the Plan to conform with the safe harbor definition under the Financial Accounting Standards Board Accounting Standards Codification Topic 718 (or any successor thereto), including with respect to an Offering Period underway at the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altering the Purchase Price for any Offering Period or Purchase Period including an Offering Period or Purchase Period underway at the time of the change in Purchase Price; </w:t>
      </w:r>
    </w:p>
    <w:p>
      <w:pPr>
        <w:pStyle w:val="TextBody"/>
        <w:bidi w:val="0"/>
        <w:spacing w:before="120" w:after="0"/>
        <w:jc w:val="left"/>
        <w:rPr>
          <w:rFonts w:ascii="Times New Roman" w:hAnsi="Times New Roman"/>
          <w:sz w:val="20"/>
        </w:rPr>
      </w:pPr>
      <w:r>
        <w:rPr>
          <w:rFonts w:ascii="Times New Roman" w:hAnsi="Times New Roman"/>
          <w:sz w:val="20"/>
        </w:rPr>
        <w:t xml:space="preserve">(iii) shortening any Offering Period or Purchase Period by setting a New Exercise Date, including an Offering Period or Purchase Period underway at the time of the Administrator action; </w:t>
      </w:r>
    </w:p>
    <w:p>
      <w:pPr>
        <w:pStyle w:val="TextBody"/>
        <w:bidi w:val="0"/>
        <w:spacing w:before="120" w:after="0"/>
        <w:jc w:val="left"/>
        <w:rPr>
          <w:rFonts w:ascii="Times New Roman" w:hAnsi="Times New Roman"/>
          <w:sz w:val="20"/>
        </w:rPr>
      </w:pPr>
      <w:r>
        <w:rPr>
          <w:rFonts w:ascii="Times New Roman" w:hAnsi="Times New Roman"/>
          <w:sz w:val="20"/>
        </w:rPr>
        <w:t xml:space="preserve">(iv) reducing the maximum percentage of Compensation a Participant may elect to set aside as Contributions; and </w:t>
      </w:r>
    </w:p>
    <w:p>
      <w:pPr>
        <w:pStyle w:val="TextBody"/>
        <w:bidi w:val="0"/>
        <w:spacing w:before="120" w:after="0"/>
        <w:jc w:val="left"/>
        <w:rPr>
          <w:rFonts w:ascii="Times New Roman" w:hAnsi="Times New Roman"/>
          <w:sz w:val="20"/>
        </w:rPr>
      </w:pPr>
      <w:r>
        <w:rPr>
          <w:rFonts w:ascii="Times New Roman" w:hAnsi="Times New Roman"/>
          <w:sz w:val="20"/>
        </w:rPr>
        <w:t xml:space="preserve">(v) reducing the maximum number of Ordinary Shares a Participant may purchase during any Offering Period or Purchase Period. </w:t>
      </w:r>
    </w:p>
    <w:p>
      <w:pPr>
        <w:pStyle w:val="TextBody"/>
        <w:bidi w:val="0"/>
        <w:spacing w:before="240" w:after="0"/>
        <w:jc w:val="left"/>
        <w:rPr>
          <w:rFonts w:ascii="Times New Roman" w:hAnsi="Times New Roman"/>
          <w:sz w:val="20"/>
        </w:rPr>
      </w:pPr>
      <w:r>
        <w:rPr>
          <w:rFonts w:ascii="Times New Roman" w:hAnsi="Times New Roman"/>
          <w:sz w:val="20"/>
        </w:rPr>
        <w:t xml:space="preserve">Such modifications or amendments will not require shareholder approval or the consent of any Participants.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20.</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Notices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All notices or other communications by a Participant to the Company under or in connection with the Plan will be deemed to have been duly given when received in the form and manner specified by the Company at the location, or by the person, designated by the Company for the receipt thereof.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Conditions Upon Issuance of Shares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Ordinary Shares will not be issued with respect to an option unless the exercise of such option and the issuance and delivery of such shares pursuant thereto will comply with all applicable provisions of law, domestic or foreign, including the Securities Act of 1933, as amended, the Exchange Act, the rules and regulations promulgated thereunder, and the requirements of any stock exchange upon which the shares may then be listed, and will be further subject to the approval of counsel for the Company with respect to such compliance. </w:t>
      </w:r>
    </w:p>
    <w:p>
      <w:pPr>
        <w:pStyle w:val="TextBody"/>
        <w:bidi w:val="0"/>
        <w:spacing w:before="240" w:after="0"/>
        <w:jc w:val="left"/>
        <w:rPr>
          <w:rFonts w:ascii="Times New Roman" w:hAnsi="Times New Roman"/>
          <w:sz w:val="20"/>
        </w:rPr>
      </w:pPr>
      <w:r>
        <w:rPr>
          <w:rFonts w:ascii="Times New Roman" w:hAnsi="Times New Roman"/>
          <w:sz w:val="20"/>
        </w:rPr>
        <w:t xml:space="preserve">(b) 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Applicable Law.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Term of Plan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Plan will become effective upon the Effective Date. It will continue in effect until terminated pursuant to </w:t>
      </w:r>
      <w:r>
        <w:rPr>
          <w:rFonts w:ascii="Times New Roman" w:hAnsi="Times New Roman"/>
          <w:sz w:val="20"/>
          <w:u w:val="single"/>
        </w:rPr>
        <w:t>Section 19</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23.</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Shareholder Approval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Plan will be subject to approval by the shareholders of the Company within 12 months after the date the Plan is adopted by the Board. Such shareholder approval will be obtained in the manner and to the degree required under Applicable Laws.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Governing Law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Plan and any agreements or other documents hereunder shall be interpreted and construed in accordance with the laws of the Cayman Islands (without regard to its choice of law provisions). Any reference in this Plan or in any agreements or other documents hereunder to a provision of law or to a rule or regulation shall be deemed to include any successor law, rule, or regulation of similar effect or applicability.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25.</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Severability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any provision of the Plan is or becomes or is deemed to be invalid, illegal, or unenforceable for any reason in any jurisdiction or as to any Participant, such invalidity, illegality, or unenforceability shall not affect the remaining parts of the Plan, and the Plan shall be construed and enforced as to such jurisdiction or Participant as if the invalid, illegal, or unenforceable provision had not been included.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Interpretation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Headings are given to the Sections and subsections of the Plan solely as a convenience to facilitate reference and shall not be deemed in any way material or relevant to the construction or interpretation of the Plan or any provision thereof. Words in the masculine gender shall include the feminine gender, and where appropriate, the plural shall include the singular and the singular shall include the plural.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References herein to any agreement, instrument, or other document means such agreement, instrument, or other document as amended, supplemented, and modified from time to time to the extent permitted by the provisions thereof and not prohibited by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DAMORA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2026 EMPLOYEE STOCK PURCHASE PLAN </w:t>
      </w:r>
    </w:p>
    <w:p>
      <w:pPr>
        <w:pStyle w:val="TextBody"/>
        <w:bidi w:val="0"/>
        <w:spacing w:before="240" w:after="0"/>
        <w:jc w:val="center"/>
        <w:rPr>
          <w:rFonts w:ascii="Times New Roman" w:hAnsi="Times New Roman"/>
          <w:b/>
          <w:sz w:val="20"/>
        </w:rPr>
      </w:pPr>
      <w:r>
        <w:rPr>
          <w:rFonts w:ascii="Times New Roman" w:hAnsi="Times New Roman"/>
          <w:b/>
          <w:sz w:val="20"/>
        </w:rPr>
        <w:t xml:space="preserve">SUBSCRIPTION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49"/>
        <w:gridCol w:w="122"/>
        <w:gridCol w:w="5034"/>
      </w:tblGrid>
      <w:tr>
        <w:trPr/>
        <w:tc>
          <w:tcPr>
            <w:tcW w:w="5049"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5034" w:type="dxa"/>
            <w:tcBorders/>
            <w:vAlign w:val="center"/>
          </w:tcPr>
          <w:p>
            <w:pPr>
              <w:pStyle w:val="TableContents"/>
              <w:bidi w:val="0"/>
              <w:spacing w:before="0" w:after="283"/>
              <w:jc w:val="left"/>
              <w:rPr>
                <w:sz w:val="4"/>
                <w:szCs w:val="4"/>
              </w:rPr>
            </w:pPr>
            <w:r>
              <w:rPr>
                <w:sz w:val="4"/>
                <w:szCs w:val="4"/>
              </w:rPr>
            </w:r>
          </w:p>
        </w:tc>
      </w:tr>
      <w:tr>
        <w:trPr/>
        <w:tc>
          <w:tcPr>
            <w:tcW w:w="5049" w:type="dxa"/>
            <w:tcBorders/>
            <w:vAlign w:val="bottom"/>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_____ Original Application</w:t>
            </w:r>
          </w:p>
        </w:tc>
        <w:tc>
          <w:tcPr>
            <w:tcW w:w="122" w:type="dxa"/>
            <w:tcBorders/>
            <w:vAlign w:val="bottom"/>
          </w:tcPr>
          <w:p>
            <w:pPr>
              <w:pStyle w:val="TableContents"/>
              <w:bidi w:val="0"/>
              <w:spacing w:before="0" w:after="283"/>
              <w:jc w:val="left"/>
              <w:rPr/>
            </w:pPr>
            <w:r>
              <w:rPr/>
              <w:t>  </w:t>
            </w:r>
          </w:p>
        </w:tc>
        <w:tc>
          <w:tcPr>
            <w:tcW w:w="5034" w:type="dxa"/>
            <w:tcBorders/>
            <w:vAlign w:val="bottom"/>
          </w:tcPr>
          <w:p>
            <w:pPr>
              <w:pStyle w:val="TableContents"/>
              <w:bidi w:val="0"/>
              <w:spacing w:before="0" w:after="283"/>
              <w:jc w:val="right"/>
              <w:rPr/>
            </w:pPr>
            <w:r>
              <w:rPr/>
              <w:t xml:space="preserve">Offering Date: </w:t>
            </w:r>
            <w:r>
              <w:rPr>
                <w:u w:val="single"/>
              </w:rPr>
              <w:t>          </w:t>
            </w:r>
          </w:p>
        </w:tc>
      </w:tr>
      <w:tr>
        <w:trPr/>
        <w:tc>
          <w:tcPr>
            <w:tcW w:w="5049" w:type="dxa"/>
            <w:tcBorders/>
            <w:vAlign w:val="bottom"/>
          </w:tcPr>
          <w:p>
            <w:pPr>
              <w:pStyle w:val="TableContents"/>
              <w:bidi w:val="0"/>
              <w:spacing w:before="0" w:after="283"/>
              <w:jc w:val="left"/>
              <w:rPr/>
            </w:pPr>
            <w:r>
              <w:rPr/>
              <w:t>_____ Change in Payroll Deduction Rate</w:t>
            </w:r>
          </w:p>
        </w:tc>
        <w:tc>
          <w:tcPr>
            <w:tcW w:w="122" w:type="dxa"/>
            <w:tcBorders/>
            <w:vAlign w:val="bottom"/>
          </w:tcPr>
          <w:p>
            <w:pPr>
              <w:pStyle w:val="TableContents"/>
              <w:bidi w:val="0"/>
              <w:spacing w:before="0" w:after="283"/>
              <w:jc w:val="left"/>
              <w:rPr/>
            </w:pPr>
            <w:r>
              <w:rPr/>
              <w:t>  </w:t>
            </w:r>
          </w:p>
        </w:tc>
        <w:tc>
          <w:tcPr>
            <w:tcW w:w="5034"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1. hereby elects to participate in the Damora Therapeutics, Inc. 2026 Employee Stock Purchase Plan (the “</w:t>
      </w:r>
      <w:r>
        <w:rPr>
          <w:rFonts w:ascii="Times New Roman" w:hAnsi="Times New Roman"/>
          <w:b/>
          <w:i/>
          <w:sz w:val="20"/>
        </w:rPr>
        <w:t>Plan</w:t>
      </w:r>
      <w:r>
        <w:rPr>
          <w:rFonts w:ascii="Times New Roman" w:hAnsi="Times New Roman"/>
          <w:sz w:val="20"/>
        </w:rPr>
        <w:t xml:space="preserve">”) and subscribes to purchase shares of the Company’s Ordinary Shares in accordance with this Subscription Agreement and the Plan. Capitalized terms used but not defined in this Subscription Agreement have the meanings provided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2. I hereby authorize payroll deductions from each paycheck in the amount of ____% of my Compensation on each payday (from 1% to 15%) during the Offering Period in accordance with the Plan, commencing with the next Offering Period; </w:t>
      </w:r>
      <w:r>
        <w:rPr>
          <w:rFonts w:ascii="Times New Roman" w:hAnsi="Times New Roman"/>
          <w:i/>
          <w:sz w:val="20"/>
        </w:rPr>
        <w:t>provided, however</w:t>
      </w:r>
      <w:r>
        <w:rPr>
          <w:rFonts w:ascii="Times New Roman" w:hAnsi="Times New Roman"/>
          <w:sz w:val="20"/>
        </w:rPr>
        <w:t xml:space="preserve">, that, in no event may more than $25,000 of Ordinary Shares be purchased under the Plan in any calendar year. (Please note that no fractional percentages are permitted.) </w:t>
      </w:r>
    </w:p>
    <w:p>
      <w:pPr>
        <w:pStyle w:val="TextBody"/>
        <w:bidi w:val="0"/>
        <w:spacing w:before="240" w:after="0"/>
        <w:jc w:val="left"/>
        <w:rPr>
          <w:rFonts w:ascii="Times New Roman" w:hAnsi="Times New Roman"/>
          <w:sz w:val="20"/>
        </w:rPr>
      </w:pPr>
      <w:r>
        <w:rPr>
          <w:rFonts w:ascii="Times New Roman" w:hAnsi="Times New Roman"/>
          <w:sz w:val="20"/>
        </w:rPr>
        <w:t xml:space="preserve">3. I understand that the payroll deductions will be accumulated for the purchase of Ordinary Shares at the applicable Purchase Price determined in accordance with the Plan. I understand that if I do not withdraw from an Offering Period, any accumulated payroll deductions will be used to automatically exercise my option and purchase Ordinary Shares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4. I have received a copy of the complete Plan and its accompanying prospectus. I understand that my participation in the Plan is in all respects subject to the terms of the Plan. </w:t>
      </w:r>
    </w:p>
    <w:p>
      <w:pPr>
        <w:pStyle w:val="TextBody"/>
        <w:bidi w:val="0"/>
        <w:spacing w:before="240" w:after="0"/>
        <w:jc w:val="left"/>
        <w:rPr>
          <w:rFonts w:ascii="Times New Roman" w:hAnsi="Times New Roman"/>
          <w:sz w:val="20"/>
        </w:rPr>
      </w:pPr>
      <w:r>
        <w:rPr>
          <w:rFonts w:ascii="Times New Roman" w:hAnsi="Times New Roman"/>
          <w:sz w:val="20"/>
        </w:rPr>
        <w:t xml:space="preserve">5. Ordinary Shares purchased for me under the Plan should be issued in the name(s) of </w:t>
      </w:r>
      <w:r>
        <w:rPr>
          <w:rFonts w:ascii="Times New Roman" w:hAnsi="Times New Roman"/>
          <w:sz w:val="20"/>
          <w:u w:val="single"/>
        </w:rPr>
        <w:t>          </w:t>
      </w:r>
      <w:r>
        <w:rPr>
          <w:rFonts w:ascii="Times New Roman" w:hAnsi="Times New Roman"/>
          <w:sz w:val="20"/>
        </w:rPr>
        <w:t xml:space="preserve"> (Eligible Employee or Eligible Employee and Spouse only). </w:t>
      </w:r>
    </w:p>
    <w:p>
      <w:pPr>
        <w:pStyle w:val="TextBody"/>
        <w:bidi w:val="0"/>
        <w:spacing w:before="240" w:after="0"/>
        <w:jc w:val="left"/>
        <w:rPr>
          <w:rFonts w:ascii="Times New Roman" w:hAnsi="Times New Roman"/>
          <w:sz w:val="20"/>
        </w:rPr>
      </w:pPr>
      <w:r>
        <w:rPr>
          <w:rFonts w:ascii="Times New Roman" w:hAnsi="Times New Roman"/>
          <w:sz w:val="20"/>
        </w:rPr>
        <w:t xml:space="preserve">6. I understand that if I dispose of any shares received by me pursuant to the Plan within two years after the Offering Date (the first day of the Offering Period during which I purchased such shares) or one year after the Exercise Date, I will be treated for federal income tax purposes as having received ordinary income at the time of such disposition in an amount equal to the excess of the fair market value of the shares at the time such shares were purchased by me over the price that I paid for the shares. The Company may, but will not be obligated to, withhold from my compensation the amount necessary to meet any applicable withholding obligation including any withholding necessary to make available to the Company any tax deductions or benefits attributable to sale or early disposition of Ordinary Shares by me. If I dispose of such shares at any time after the expiration of the holding period, I understand that I will be treated for federal income tax purposes as having received income only at the time of such disposition, and that such income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will be taxed as ordinary income only to the extent of an amount equal to the lesser of (a) the excess of the fair market value of the shares at the time of such disposition over the Purchase Price which I paid for the shares, or (b) 15% of the fair market value of the shares on the first day of the Offering Period. The remainder of the gain, if any, recognized on such disposition will be taxed as capital gain. </w:t>
      </w:r>
    </w:p>
    <w:p>
      <w:pPr>
        <w:pStyle w:val="TextBody"/>
        <w:bidi w:val="0"/>
        <w:spacing w:before="240" w:after="0"/>
        <w:jc w:val="left"/>
        <w:rPr>
          <w:rFonts w:ascii="Times New Roman" w:hAnsi="Times New Roman"/>
          <w:sz w:val="20"/>
        </w:rPr>
      </w:pPr>
      <w:r>
        <w:rPr>
          <w:rFonts w:ascii="Times New Roman" w:hAnsi="Times New Roman"/>
          <w:sz w:val="20"/>
        </w:rPr>
        <w:t xml:space="preserve">7. I hereby agree to be bound by the terms of the Plan. The effectiveness of this Subscription Agreement is dependent upon my eligibility to participate in the Plan.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46"/>
        <w:gridCol w:w="101"/>
        <w:gridCol w:w="7758"/>
      </w:tblGrid>
      <w:tr>
        <w:trPr/>
        <w:tc>
          <w:tcPr>
            <w:tcW w:w="234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7758" w:type="dxa"/>
            <w:tcBorders/>
            <w:vAlign w:val="center"/>
          </w:tcPr>
          <w:p>
            <w:pPr>
              <w:pStyle w:val="TableContents"/>
              <w:bidi w:val="0"/>
              <w:spacing w:before="0" w:after="283"/>
              <w:jc w:val="left"/>
              <w:rPr>
                <w:sz w:val="4"/>
                <w:szCs w:val="4"/>
              </w:rPr>
            </w:pPr>
            <w:r>
              <w:rPr>
                <w:sz w:val="4"/>
                <w:szCs w:val="4"/>
              </w:rPr>
            </w:r>
          </w:p>
        </w:tc>
      </w:tr>
      <w:tr>
        <w:trPr/>
        <w:tc>
          <w:tcPr>
            <w:tcW w:w="234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Employee’s Social Security #:</w:t>
            </w:r>
          </w:p>
        </w:tc>
        <w:tc>
          <w:tcPr>
            <w:tcW w:w="101" w:type="dxa"/>
            <w:tcBorders/>
            <w:vAlign w:val="bottom"/>
          </w:tcPr>
          <w:p>
            <w:pPr>
              <w:pStyle w:val="TableContents"/>
              <w:bidi w:val="0"/>
              <w:spacing w:before="0" w:after="283"/>
              <w:jc w:val="left"/>
              <w:rPr/>
            </w:pPr>
            <w:r>
              <w:rPr/>
              <w:t> </w:t>
            </w:r>
          </w:p>
        </w:tc>
        <w:tc>
          <w:tcPr>
            <w:tcW w:w="7758" w:type="dxa"/>
            <w:tcBorders/>
            <w:vAlign w:val="bottom"/>
          </w:tcPr>
          <w:p>
            <w:pPr>
              <w:pStyle w:val="TableContents"/>
              <w:pBdr>
                <w:bottom w:val="single" w:sz="2" w:space="1" w:color="000000"/>
              </w:pBdr>
              <w:bidi w:val="0"/>
              <w:spacing w:before="0" w:after="20"/>
              <w:jc w:val="left"/>
              <w:rPr/>
            </w:pPr>
            <w:r>
              <w:rPr/>
              <w:t>   </w:t>
            </w:r>
          </w:p>
        </w:tc>
      </w:tr>
      <w:tr>
        <w:trPr/>
        <w:tc>
          <w:tcPr>
            <w:tcW w:w="234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Employee’s Address:</w:t>
            </w:r>
          </w:p>
        </w:tc>
        <w:tc>
          <w:tcPr>
            <w:tcW w:w="101" w:type="dxa"/>
            <w:tcBorders/>
            <w:vAlign w:val="bottom"/>
          </w:tcPr>
          <w:p>
            <w:pPr>
              <w:pStyle w:val="TableContents"/>
              <w:bidi w:val="0"/>
              <w:spacing w:before="0" w:after="283"/>
              <w:jc w:val="left"/>
              <w:rPr/>
            </w:pPr>
            <w:r>
              <w:rPr/>
              <w:t> </w:t>
            </w:r>
          </w:p>
        </w:tc>
        <w:tc>
          <w:tcPr>
            <w:tcW w:w="7758" w:type="dxa"/>
            <w:tcBorders/>
            <w:vAlign w:val="bottom"/>
          </w:tcPr>
          <w:p>
            <w:pPr>
              <w:pStyle w:val="TableContents"/>
              <w:pBdr>
                <w:bottom w:val="single" w:sz="2" w:space="1" w:color="000000"/>
              </w:pBdr>
              <w:bidi w:val="0"/>
              <w:spacing w:before="0" w:after="20"/>
              <w:jc w:val="left"/>
              <w:rPr/>
            </w:pPr>
            <w:r>
              <w:rPr/>
              <w:t> </w:t>
            </w:r>
          </w:p>
        </w:tc>
      </w:tr>
      <w:tr>
        <w:trPr/>
        <w:tc>
          <w:tcPr>
            <w:tcW w:w="2346"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758" w:type="dxa"/>
            <w:tcBorders/>
            <w:vAlign w:val="bottom"/>
          </w:tcPr>
          <w:p>
            <w:pPr>
              <w:pStyle w:val="TableContents"/>
              <w:pBdr>
                <w:bottom w:val="single" w:sz="2" w:space="1" w:color="000000"/>
              </w:pBdr>
              <w:bidi w:val="0"/>
              <w:spacing w:before="0" w:after="2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 UNDERSTAND THAT THIS SUBSCRIPTION AGREEMENT WILL REMAIN IN EFFECT THROUGHOUT SUCCESSIVE OFFERING PERIODS UNLESS TERMINATED BY 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796"/>
        <w:gridCol w:w="102"/>
        <w:gridCol w:w="408"/>
        <w:gridCol w:w="102"/>
        <w:gridCol w:w="4797"/>
      </w:tblGrid>
      <w:tr>
        <w:trPr/>
        <w:tc>
          <w:tcPr>
            <w:tcW w:w="479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4796" w:type="dxa"/>
            <w:tcBorders/>
          </w:tcPr>
          <w:p>
            <w:pPr>
              <w:pStyle w:val="TableContents"/>
              <w:pBdr>
                <w:bottom w:val="single" w:sz="2" w:space="1" w:color="000000"/>
              </w:pBdr>
              <w:bidi w:val="0"/>
              <w:spacing w:before="0" w:after="20"/>
              <w:jc w:val="left"/>
              <w:rPr/>
            </w:pPr>
            <w:r>
              <w:rPr/>
              <w:t>    </w:t>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 xml:space="preserve">Date: </w:t>
            </w:r>
            <w:r>
              <w:rPr>
                <w:u w:val="single"/>
              </w:rPr>
              <w:t>          </w:t>
            </w:r>
          </w:p>
        </w:tc>
      </w:tr>
      <w:tr>
        <w:trPr/>
        <w:tc>
          <w:tcPr>
            <w:tcW w:w="4796" w:type="dxa"/>
            <w:tcBorders/>
          </w:tcPr>
          <w:p>
            <w:pPr>
              <w:pStyle w:val="TableContents"/>
              <w:bidi w:val="0"/>
              <w:spacing w:before="0" w:after="283"/>
              <w:jc w:val="left"/>
              <w:rPr/>
            </w:pPr>
            <w:r>
              <w:rPr/>
              <w:t>Signature</w:t>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DAMORA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2026 EMPLOYEE STOCK PURCHASE PLAN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WITHDRAWAL </w:t>
      </w:r>
    </w:p>
    <w:p>
      <w:pPr>
        <w:pStyle w:val="TextBody"/>
        <w:bidi w:val="0"/>
        <w:spacing w:before="240" w:after="0"/>
        <w:jc w:val="left"/>
        <w:rPr>
          <w:rFonts w:ascii="Times New Roman" w:hAnsi="Times New Roman"/>
          <w:sz w:val="20"/>
        </w:rPr>
      </w:pPr>
      <w:r>
        <w:rPr>
          <w:rFonts w:ascii="Times New Roman" w:hAnsi="Times New Roman"/>
          <w:sz w:val="20"/>
        </w:rPr>
        <w:t>The undersigned Participant in the Offering Period of the Damora Therapeutics, Inc. 2026 Employee Stock Purchase Plan that began on ______________, ______ (the “</w:t>
      </w:r>
      <w:r>
        <w:rPr>
          <w:rFonts w:ascii="Times New Roman" w:hAnsi="Times New Roman"/>
          <w:b/>
          <w:i/>
          <w:sz w:val="20"/>
        </w:rPr>
        <w:t>Offering Date</w:t>
      </w:r>
      <w:r>
        <w:rPr>
          <w:rFonts w:ascii="Times New Roman" w:hAnsi="Times New Roman"/>
          <w:sz w:val="20"/>
        </w:rPr>
        <w:t xml:space="preserve">”) hereby notifies the Company that he or she hereby withdraws from the Offering Period. He or she hereby directs the Company to pay to the undersigned as soon as reasonably practicable all the payroll deductions credited to his or her notional account with respect to such Offering Period. The undersigned understands and agrees that his or her option for such Offering Period will be automatically terminated. The undersigned understands further that no further payroll deductions will be made for the purchase of shares in the current Offering Period and the undersigned will be eligible to participate in succeeding Offering Periods only by delivering to the Company a new Subscription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46"/>
        <w:gridCol w:w="101"/>
        <w:gridCol w:w="7758"/>
      </w:tblGrid>
      <w:tr>
        <w:trPr/>
        <w:tc>
          <w:tcPr>
            <w:tcW w:w="234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7758" w:type="dxa"/>
            <w:tcBorders/>
            <w:vAlign w:val="center"/>
          </w:tcPr>
          <w:p>
            <w:pPr>
              <w:pStyle w:val="TableContents"/>
              <w:bidi w:val="0"/>
              <w:spacing w:before="0" w:after="283"/>
              <w:jc w:val="left"/>
              <w:rPr>
                <w:sz w:val="4"/>
                <w:szCs w:val="4"/>
              </w:rPr>
            </w:pPr>
            <w:r>
              <w:rPr>
                <w:sz w:val="4"/>
                <w:szCs w:val="4"/>
              </w:rPr>
            </w:r>
          </w:p>
        </w:tc>
      </w:tr>
      <w:tr>
        <w:trPr/>
        <w:tc>
          <w:tcPr>
            <w:tcW w:w="2346" w:type="dxa"/>
            <w:tcBorders/>
          </w:tcPr>
          <w:p>
            <w:pPr>
              <w:pStyle w:val="TableContents"/>
              <w:bidi w:val="0"/>
              <w:spacing w:before="0" w:after="283"/>
              <w:jc w:val="left"/>
              <w:rPr/>
            </w:pPr>
            <w:r>
              <w:rPr/>
              <w:t>Participant’s Name:</w:t>
            </w:r>
          </w:p>
        </w:tc>
        <w:tc>
          <w:tcPr>
            <w:tcW w:w="101" w:type="dxa"/>
            <w:tcBorders/>
            <w:vAlign w:val="bottom"/>
          </w:tcPr>
          <w:p>
            <w:pPr>
              <w:pStyle w:val="TableContents"/>
              <w:bidi w:val="0"/>
              <w:spacing w:before="0" w:after="283"/>
              <w:jc w:val="left"/>
              <w:rPr/>
            </w:pPr>
            <w:r>
              <w:rPr/>
              <w:t> </w:t>
            </w:r>
          </w:p>
        </w:tc>
        <w:tc>
          <w:tcPr>
            <w:tcW w:w="7758" w:type="dxa"/>
            <w:tcBorders/>
          </w:tcPr>
          <w:p>
            <w:pPr>
              <w:pStyle w:val="TableContents"/>
              <w:pBdr>
                <w:bottom w:val="single" w:sz="2" w:space="1" w:color="000000"/>
              </w:pBdr>
              <w:bidi w:val="0"/>
              <w:spacing w:before="0" w:after="20"/>
              <w:jc w:val="left"/>
              <w:rPr/>
            </w:pPr>
            <w:r>
              <w:rPr/>
              <w:t>     </w:t>
            </w:r>
          </w:p>
        </w:tc>
      </w:tr>
      <w:tr>
        <w:trPr/>
        <w:tc>
          <w:tcPr>
            <w:tcW w:w="2346" w:type="dxa"/>
            <w:tcBorders/>
          </w:tcPr>
          <w:p>
            <w:pPr>
              <w:pStyle w:val="TableContents"/>
              <w:bidi w:val="0"/>
              <w:spacing w:before="0" w:after="283"/>
              <w:jc w:val="left"/>
              <w:rPr/>
            </w:pPr>
            <w:r>
              <w:rPr/>
              <w:t>Participant’s Address:</w:t>
            </w:r>
          </w:p>
        </w:tc>
        <w:tc>
          <w:tcPr>
            <w:tcW w:w="101" w:type="dxa"/>
            <w:tcBorders/>
            <w:vAlign w:val="bottom"/>
          </w:tcPr>
          <w:p>
            <w:pPr>
              <w:pStyle w:val="TableContents"/>
              <w:bidi w:val="0"/>
              <w:spacing w:before="0" w:after="283"/>
              <w:jc w:val="left"/>
              <w:rPr/>
            </w:pPr>
            <w:r>
              <w:rPr/>
              <w:t> </w:t>
            </w:r>
          </w:p>
        </w:tc>
        <w:tc>
          <w:tcPr>
            <w:tcW w:w="7758" w:type="dxa"/>
            <w:tcBorders/>
          </w:tcPr>
          <w:p>
            <w:pPr>
              <w:pStyle w:val="TableContents"/>
              <w:pBdr>
                <w:bottom w:val="single" w:sz="2" w:space="1" w:color="000000"/>
              </w:pBdr>
              <w:bidi w:val="0"/>
              <w:spacing w:before="0" w:after="20"/>
              <w:jc w:val="left"/>
              <w:rPr/>
            </w:pPr>
            <w:r>
              <w:rPr/>
              <w:t> </w:t>
            </w:r>
          </w:p>
        </w:tc>
      </w:tr>
      <w:tr>
        <w:trPr/>
        <w:tc>
          <w:tcPr>
            <w:tcW w:w="234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758"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00"/>
        <w:gridCol w:w="101"/>
        <w:gridCol w:w="374"/>
        <w:gridCol w:w="101"/>
        <w:gridCol w:w="5129"/>
      </w:tblGrid>
      <w:tr>
        <w:trPr/>
        <w:tc>
          <w:tcPr>
            <w:tcW w:w="450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5129" w:type="dxa"/>
            <w:tcBorders/>
            <w:vAlign w:val="center"/>
          </w:tcPr>
          <w:p>
            <w:pPr>
              <w:pStyle w:val="TableContents"/>
              <w:bidi w:val="0"/>
              <w:spacing w:before="0" w:after="283"/>
              <w:jc w:val="left"/>
              <w:rPr>
                <w:sz w:val="4"/>
                <w:szCs w:val="4"/>
              </w:rPr>
            </w:pPr>
            <w:r>
              <w:rPr>
                <w:sz w:val="4"/>
                <w:szCs w:val="4"/>
              </w:rPr>
            </w:r>
          </w:p>
        </w:tc>
      </w:tr>
      <w:tr>
        <w:trPr/>
        <w:tc>
          <w:tcPr>
            <w:tcW w:w="4500" w:type="dxa"/>
            <w:tcBorders/>
          </w:tcPr>
          <w:p>
            <w:pPr>
              <w:pStyle w:val="TableContents"/>
              <w:pBdr>
                <w:bottom w:val="single" w:sz="2" w:space="1" w:color="000000"/>
              </w:pBdr>
              <w:bidi w:val="0"/>
              <w:spacing w:before="0" w:after="20"/>
              <w:jc w:val="left"/>
              <w:rPr/>
            </w:pPr>
            <w:r>
              <w:rPr/>
              <w:t>    </w:t>
            </w:r>
          </w:p>
        </w:tc>
        <w:tc>
          <w:tcPr>
            <w:tcW w:w="101" w:type="dxa"/>
            <w:tcBorders/>
            <w:vAlign w:val="bottom"/>
          </w:tcPr>
          <w:p>
            <w:pPr>
              <w:pStyle w:val="TableContents"/>
              <w:bidi w:val="0"/>
              <w:spacing w:before="0" w:after="283"/>
              <w:jc w:val="left"/>
              <w:rPr/>
            </w:pPr>
            <w:r>
              <w:rPr/>
              <w:t> </w:t>
            </w:r>
          </w:p>
        </w:tc>
        <w:tc>
          <w:tcPr>
            <w:tcW w:w="374"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283"/>
              <w:jc w:val="left"/>
              <w:rPr/>
            </w:pPr>
            <w:r>
              <w:rPr/>
              <w:t xml:space="preserve">Date: </w:t>
            </w:r>
            <w:r>
              <w:rPr>
                <w:u w:val="single"/>
              </w:rPr>
              <w:t>                     </w:t>
            </w:r>
          </w:p>
        </w:tc>
      </w:tr>
      <w:tr>
        <w:trPr/>
        <w:tc>
          <w:tcPr>
            <w:tcW w:w="4500" w:type="dxa"/>
            <w:tcBorders/>
          </w:tcPr>
          <w:p>
            <w:pPr>
              <w:pStyle w:val="TableContents"/>
              <w:bidi w:val="0"/>
              <w:spacing w:before="0" w:after="283"/>
              <w:jc w:val="left"/>
              <w:rPr/>
            </w:pPr>
            <w:r>
              <w:rPr/>
              <w:t>Signature</w:t>
            </w:r>
          </w:p>
        </w:tc>
        <w:tc>
          <w:tcPr>
            <w:tcW w:w="101" w:type="dxa"/>
            <w:tcBorders/>
            <w:vAlign w:val="bottom"/>
          </w:tcPr>
          <w:p>
            <w:pPr>
              <w:pStyle w:val="TableContents"/>
              <w:bidi w:val="0"/>
              <w:spacing w:before="0" w:after="283"/>
              <w:jc w:val="left"/>
              <w:rPr/>
            </w:pPr>
            <w:r>
              <w:rPr/>
              <w:t> </w:t>
            </w:r>
          </w:p>
        </w:tc>
        <w:tc>
          <w:tcPr>
            <w:tcW w:w="374"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129"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right"/>
        <w:rPr>
          <w:rFonts w:ascii="Times New Roman" w:hAnsi="Times New Roman"/>
          <w:b/>
          <w:sz w:val="20"/>
        </w:rPr>
      </w:pPr>
      <w:bookmarkStart w:id="7" w:name="d135820dex44.htm"/>
      <w:bookmarkStart w:id="8" w:name="ksd135820dex44"/>
      <w:bookmarkEnd w:id="7"/>
      <w:bookmarkEnd w:id="8"/>
      <w:r>
        <w:rPr>
          <w:rFonts w:ascii="Times New Roman" w:hAnsi="Times New Roman"/>
          <w:b/>
          <w:sz w:val="20"/>
        </w:rPr>
        <w:t xml:space="preserve">Exhibit 4.4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DAMORA THERAPEUTICS, INC.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2025 EQUITY INCENTIVE PLAN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Purpose</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The purpose of this 2025 Equity Incentive Plan (the “</w:t>
      </w:r>
      <w:r>
        <w:rPr>
          <w:rFonts w:ascii="Times New Roman" w:hAnsi="Times New Roman"/>
          <w:b/>
          <w:sz w:val="20"/>
        </w:rPr>
        <w:t>Plan</w:t>
      </w:r>
      <w:r>
        <w:rPr>
          <w:rFonts w:ascii="Times New Roman" w:hAnsi="Times New Roman"/>
          <w:sz w:val="20"/>
        </w:rPr>
        <w:t>”) of Damora Therapeutics, Inc., a Cayman Islands exempted company (the “</w:t>
      </w:r>
      <w:r>
        <w:rPr>
          <w:rFonts w:ascii="Times New Roman" w:hAnsi="Times New Roman"/>
          <w:b/>
          <w:sz w:val="20"/>
        </w:rPr>
        <w:t>Company</w:t>
      </w:r>
      <w:r>
        <w:rPr>
          <w:rFonts w:ascii="Times New Roman" w:hAnsi="Times New Roman"/>
          <w:sz w:val="20"/>
        </w:rPr>
        <w:t>”), is to advance the interests of the Company’s shareholders by enhancing the Company’s ability to attract, retain and motivate persons who are expected to make important contributions to the Company and by providing such persons with equity ownership opportunities and performance-based incentives that are intended to better align the interests of such persons with those of the Company’s shareholders. Except where the context otherwise requires, the term “Company” shall include any of the Company’s present or future parent or subsidiary corporations as defined in Sections 424(e) or (f) of the Internal Revenue Code of 1986, as amended, and any regulations promulgated thereunder (the “</w:t>
      </w:r>
      <w:r>
        <w:rPr>
          <w:rFonts w:ascii="Times New Roman" w:hAnsi="Times New Roman"/>
          <w:b/>
          <w:sz w:val="20"/>
        </w:rPr>
        <w:t>Code</w:t>
      </w:r>
      <w:r>
        <w:rPr>
          <w:rFonts w:ascii="Times New Roman" w:hAnsi="Times New Roman"/>
          <w:sz w:val="20"/>
        </w:rPr>
        <w:t>”) and any other business venture (including, without limitation, joint venture or limited liability company) in which the Company has a controlling interest, as determined by the Board of Directors of the Company (the “</w:t>
      </w:r>
      <w:r>
        <w:rPr>
          <w:rFonts w:ascii="Times New Roman" w:hAnsi="Times New Roman"/>
          <w:b/>
          <w:sz w:val="20"/>
        </w:rPr>
        <w:t>Board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Plan has been amended and restated to reflect a change in the Company’s jurisdiction of incorporation from the State of Delaware to the Cayman Islands, but no further awards may be issued under the Plan as of February 9,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Eligibility</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All of the Company’s employees, officers, directors, consultants and advisors are eligible to be granted options, restricted stock, restricted stock units, and other share-based awards (each, an “</w:t>
      </w:r>
      <w:r>
        <w:rPr>
          <w:rFonts w:ascii="Times New Roman" w:hAnsi="Times New Roman"/>
          <w:b/>
          <w:sz w:val="20"/>
        </w:rPr>
        <w:t>Award</w:t>
      </w:r>
      <w:r>
        <w:rPr>
          <w:rFonts w:ascii="Times New Roman" w:hAnsi="Times New Roman"/>
          <w:sz w:val="20"/>
        </w:rPr>
        <w:t>”) under the Plan. Each person who receives an Award under the Plan is deemed a “</w:t>
      </w:r>
      <w:r>
        <w:rPr>
          <w:rFonts w:ascii="Times New Roman" w:hAnsi="Times New Roman"/>
          <w:b/>
          <w:sz w:val="20"/>
        </w:rPr>
        <w:t>Participant</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3.</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Administration and Delegation</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Administration by Board of Directors</w:t>
      </w:r>
      <w:r>
        <w:rPr>
          <w:rFonts w:ascii="Times New Roman" w:hAnsi="Times New Roman"/>
          <w:sz w:val="20"/>
        </w:rPr>
        <w:t xml:space="preserve">. The Plan will be administered by the Board. The Board shall have authority to grant Awards and to adopt, amend and repeal such administrative rules, guidelines and practices relating to the Plan as it shall deem advisable. The Board may construe and interpret the terms of the Plan and any Award agreements entered into under the Plan. The Board may correct any defect, supply any omission or reconcile any inconsistency in the Plan or any Award in the manner and to the extent it shall deem expedient to carry the Plan into effect and it shall be the sole and final judge of such expediency. All decisions by the Board shall be made in the Board’s sole discretion and shall be final and binding on all persons having or claiming any interest in the Plan or in any Award. No director or person acting pursuant to the authority delegated by the Board shall be liable for any action or determination relating to or under the Plan made in good faith.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Appointment of Committees</w:t>
      </w:r>
      <w:r>
        <w:rPr>
          <w:rFonts w:ascii="Times New Roman" w:hAnsi="Times New Roman"/>
          <w:sz w:val="20"/>
        </w:rPr>
        <w:t>. To the extent permitted by applicable law, the Board may delegate any or all of its powers under the Plan to one or more committees or subcommittees of the Board (a “</w:t>
      </w:r>
      <w:r>
        <w:rPr>
          <w:rFonts w:ascii="Times New Roman" w:hAnsi="Times New Roman"/>
          <w:b/>
          <w:sz w:val="20"/>
        </w:rPr>
        <w:t>Committee</w:t>
      </w:r>
      <w:r>
        <w:rPr>
          <w:rFonts w:ascii="Times New Roman" w:hAnsi="Times New Roman"/>
          <w:sz w:val="20"/>
        </w:rPr>
        <w:t>”). All references in the Plan to the “</w:t>
      </w:r>
      <w:r>
        <w:rPr>
          <w:rFonts w:ascii="Times New Roman" w:hAnsi="Times New Roman"/>
          <w:b/>
          <w:sz w:val="20"/>
        </w:rPr>
        <w:t>Board</w:t>
      </w:r>
      <w:r>
        <w:rPr>
          <w:rFonts w:ascii="Times New Roman" w:hAnsi="Times New Roman"/>
          <w:sz w:val="20"/>
        </w:rPr>
        <w:t xml:space="preserve">” shall mean the Board or a Committee of the Board or the officers referred to in Section 3(c) to the extent that the Board’s powers or authority under the Plan have been delegated to such Committee or officers. The Board may abolish any Committee at any time, and notwithstanding any delegation of authority, the Board will always retain full authority to take any action permitted under the Plan.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Delegation to Officers</w:t>
      </w:r>
      <w:r>
        <w:rPr>
          <w:rFonts w:ascii="Times New Roman" w:hAnsi="Times New Roman"/>
          <w:sz w:val="20"/>
        </w:rPr>
        <w:t xml:space="preserve">. To the extent permitted by applicable law, the Board may delegate to one or more officers of the Company the power to grant Awards (subject to any limitations under the Plan) to employees or officers of the Company and to exercise such other powers under the Plan as the Board may determine, </w:t>
      </w:r>
      <w:r>
        <w:rPr>
          <w:rFonts w:ascii="Times New Roman" w:hAnsi="Times New Roman"/>
          <w:i/>
          <w:sz w:val="20"/>
        </w:rPr>
        <w:t>provided that</w:t>
      </w:r>
      <w:r>
        <w:rPr>
          <w:rFonts w:ascii="Times New Roman" w:hAnsi="Times New Roman"/>
          <w:sz w:val="20"/>
        </w:rPr>
        <w:t xml:space="preserve"> the Board shall fix the terms of the Awards to be granted by such officers (including the exercise price of such Awards, which may include a formula by which the exercise price will be determined) and the maximum number of shares subject to Awards that the officers may grant; </w:t>
      </w:r>
      <w:r>
        <w:rPr>
          <w:rFonts w:ascii="Times New Roman" w:hAnsi="Times New Roman"/>
          <w:i/>
          <w:sz w:val="20"/>
        </w:rPr>
        <w:t>provided further, however</w:t>
      </w:r>
      <w:r>
        <w:rPr>
          <w:rFonts w:ascii="Times New Roman" w:hAnsi="Times New Roman"/>
          <w:sz w:val="20"/>
        </w:rPr>
        <w:t>, that no officer shall be authorized to grant Awards to any “executive officer” of the Company (as defined by Rule 3b-7 under the Securities Exchange Act of 1934, as amended (the “</w:t>
      </w:r>
      <w:r>
        <w:rPr>
          <w:rFonts w:ascii="Times New Roman" w:hAnsi="Times New Roman"/>
          <w:b/>
          <w:sz w:val="20"/>
        </w:rPr>
        <w:t>Exchange Act</w:t>
      </w:r>
      <w:r>
        <w:rPr>
          <w:rFonts w:ascii="Times New Roman" w:hAnsi="Times New Roman"/>
          <w:sz w:val="20"/>
        </w:rPr>
        <w:t xml:space="preserve">”)) or to any “officer” of the Company (as defined by Rule 16a-1 under the Exchange Act). The Board may rescind any such delegation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4.</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Stock Available for Awards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Number of Shares</w:t>
      </w:r>
      <w:r>
        <w:rPr>
          <w:rFonts w:ascii="Times New Roman" w:hAnsi="Times New Roman"/>
          <w:sz w:val="20"/>
        </w:rPr>
        <w:t>. Subject to adjustment under Section 8 hereof, Awards may be made under the Plan covering up to 2,777,778 ordinary shares of the Company (the “</w:t>
      </w:r>
      <w:r>
        <w:rPr>
          <w:rFonts w:ascii="Times New Roman" w:hAnsi="Times New Roman"/>
          <w:b/>
          <w:sz w:val="20"/>
        </w:rPr>
        <w:t>Ordinary Shares</w:t>
      </w:r>
      <w:r>
        <w:rPr>
          <w:rFonts w:ascii="Times New Roman" w:hAnsi="Times New Roman"/>
          <w:sz w:val="20"/>
        </w:rPr>
        <w:t>”), all of which may be granted as Incentive Stock Options (as defined below). If any Award expires, lapses, or is terminated, surrendered or canceled without having been fully exercised or is forfeited in whole or in part (including as the result of Ordinary Shares subject to such Award being repurchased by the Company at or below the original issuance price), in any case in a manner that results in any Ordinary Shares covered by such Award not being issued or being so reacquired by the Company, the unused Ordinary Shares covered by such Award shall again be available for the grant of Awards under the Plan. Further, Ordinary Shares delivered (whether by actual delivery or attestation) or tendered to the Company by a Participant to satisfy the applicable exercise or purchase price of an Award and/or to satisfy any applicable tax withholding obligation (including shares retained by the Company from the Award being exercised or purchased and/or creating the tax obligation) shall again be available for the grant of Awards under the Plan. However, in the case of Incentive Stock Options, the foregoing provisions shall be subject to any limitations under the Code. Ordinary Shares issued under the Plan may consist in whole or in part of authorized but unissued shares, shares purchased on the open market, or treasury shares. At no time while there is any Option (as defined below) outstanding and held by a Participant who was a resident of the State of California on the date of grant of such Option, shall the total number of Ordinary Shares issuable upon exercise of all outstanding options and the total number of shares provided for under any stock bonus or similar plan or agreement of the Company exceed the applicable percentage as calculated in accordance with the conditions and exclusions of Section 260.140.45 of the California Code of Regulations (the “</w:t>
      </w:r>
      <w:r>
        <w:rPr>
          <w:rFonts w:ascii="Times New Roman" w:hAnsi="Times New Roman"/>
          <w:b/>
          <w:sz w:val="20"/>
        </w:rPr>
        <w:t>California Regulations</w:t>
      </w:r>
      <w:r>
        <w:rPr>
          <w:rFonts w:ascii="Times New Roman" w:hAnsi="Times New Roman"/>
          <w:sz w:val="20"/>
        </w:rPr>
        <w:t xml:space="preserve">”), to the extent applicable, based on the shares of the Company which are outstanding at the time the calculation is made.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Substitute Awards</w:t>
      </w:r>
      <w:r>
        <w:rPr>
          <w:rFonts w:ascii="Times New Roman" w:hAnsi="Times New Roman"/>
          <w:sz w:val="20"/>
        </w:rPr>
        <w:t xml:space="preserve">. In connection with a merger or consolidation of an entity with the Company or the acquisition by the Company of property or stock of an entity, the Board may grant Awards in substitution for any options or other stock or share-based awards granted prior to such merger or consolidation by such entity or an affiliate thereof. Substitute Awards may be granted on such terms as the Board deems appropriate in the circumstances, notwithstanding any limitations on Awards contained in the Plan. Substitute Awards shall not count against the overall share limit set forth in Section 4(a) hereof, except as may be required by reason of Section 422 and related provisions of the Code.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5.</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Stock Options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w:t>
      </w:r>
      <w:r>
        <w:rPr>
          <w:rFonts w:ascii="Times New Roman" w:hAnsi="Times New Roman"/>
          <w:sz w:val="20"/>
        </w:rPr>
        <w:t>. The Board may grant options to purchase Ordinary Shares (each, an “</w:t>
      </w:r>
      <w:r>
        <w:rPr>
          <w:rFonts w:ascii="Times New Roman" w:hAnsi="Times New Roman"/>
          <w:b/>
          <w:sz w:val="20"/>
        </w:rPr>
        <w:t>Option</w:t>
      </w:r>
      <w:r>
        <w:rPr>
          <w:rFonts w:ascii="Times New Roman" w:hAnsi="Times New Roman"/>
          <w:sz w:val="20"/>
        </w:rPr>
        <w:t>”) and determine the number of Ordinary Shares to be covered by each Option, the exercise price of each Option and the conditions and limitations applicable to the exercise of each Option, including conditions relating to applicable federal or state securities laws, as it considers necessary or advisable. An Option that is not intended to be an Incentive Stock Option shall be designated a “</w:t>
      </w:r>
      <w:r>
        <w:rPr>
          <w:rFonts w:ascii="Times New Roman" w:hAnsi="Times New Roman"/>
          <w:b/>
          <w:sz w:val="20"/>
        </w:rPr>
        <w:t>Nonstatutory Stock Option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Incentive Stock Options</w:t>
      </w:r>
      <w:r>
        <w:rPr>
          <w:rFonts w:ascii="Times New Roman" w:hAnsi="Times New Roman"/>
          <w:sz w:val="20"/>
        </w:rPr>
        <w:t>. An Option that the Board intends to be an “incentive stock option” as defined in Section 422 of the Code (an “</w:t>
      </w:r>
      <w:r>
        <w:rPr>
          <w:rFonts w:ascii="Times New Roman" w:hAnsi="Times New Roman"/>
          <w:b/>
          <w:sz w:val="20"/>
        </w:rPr>
        <w:t>Incentive Stock Option</w:t>
      </w:r>
      <w:r>
        <w:rPr>
          <w:rFonts w:ascii="Times New Roman" w:hAnsi="Times New Roman"/>
          <w:sz w:val="20"/>
        </w:rPr>
        <w:t xml:space="preserve">”) shall only be granted to employees of the Company (including any of the Company’s present or future parent or subsidiary corporations as defined in Sections 424(e) or (f) of the Code but excluding any other business venture (including, without limitation, joint venture or limited liability company) in which the Company has a controlling interest). All Options intended to qualify as Incentive Stock Options shall be subject to and shall be construed consistently with the requirements of Section 422 of the Code, and without limiting generality of the foregoing, such Options shall be deemed to include terms that comply with the eligibility standards described Section 422(b) of the Code. Subject to the remaining provisions of this Section 5(b), if an Option intended to qualify as an Incentive Stock Option does not so qualify, the Board may, at its discretion, amend the Plan and Award with respect to such Option so that such Option qualifies as an Incentive Stock Option. To the extent that the aggregate Fair Market Value (determined at the time of grant) of Ordinary Shares with respect to which Incentive Stock Options are exercisable for the first time by any Participant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the rules will be treated as Nonstatutory Stock Options, notwithstanding any contrary provision of the applicable Award. Neither the Company nor the Board shall have any liability to a Participant, or any other party, (i) if an Option (or any part thereof) which is intended to qualify as an Incentive Stock Option fails to qualify as such or (ii) for any action or omission by the Company or Board that causes an Option not to qualify as an Incentive Stock Option, including without limitation the conversion of an Incentive Stock Option to a Nonstatutory Stock Option or the grant of an Option intended as an Incentive Stock Option that fails to satisfy the requirements under the Code applicable to an Incentive Stock Option.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Exercise Price</w:t>
      </w:r>
      <w:r>
        <w:rPr>
          <w:rFonts w:ascii="Times New Roman" w:hAnsi="Times New Roman"/>
          <w:sz w:val="20"/>
        </w:rPr>
        <w:t>. The Board shall establish the exercise price of each Option and specify the exercise price in the applicable option agreement. The exercise price shall be not less than 100% of the Fair Market Value on the date the Option is granted. In the case of an Incentive Stock Option granted to an employee who, at the time of grant of the Option, owns (or is treated as owning under Section 424 of the Code) stock representing more than 10% of the voting power of all classes of shares of the Company (or a “parent corporation” or “subsidiary corporation” thereof within the meaning of Sections 424(e) or 424(f) of the Code, respectively) (such employee, a “</w:t>
      </w:r>
      <w:r>
        <w:rPr>
          <w:rFonts w:ascii="Times New Roman" w:hAnsi="Times New Roman"/>
          <w:b/>
          <w:sz w:val="20"/>
        </w:rPr>
        <w:t>10% Holder</w:t>
      </w:r>
      <w:r>
        <w:rPr>
          <w:rFonts w:ascii="Times New Roman" w:hAnsi="Times New Roman"/>
          <w:sz w:val="20"/>
        </w:rPr>
        <w:t xml:space="preserve">”), the per share exercise price shall be no less than 110% of the Fair Market Value on the date the Option is granted.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Duration of Options</w:t>
      </w:r>
      <w:r>
        <w:rPr>
          <w:rFonts w:ascii="Times New Roman" w:hAnsi="Times New Roman"/>
          <w:sz w:val="20"/>
        </w:rPr>
        <w:t xml:space="preserve">. Each Option shall be exercisable at such times and subject to such terms and conditions as the Board may specify in the applicable option agreement, </w:t>
      </w:r>
      <w:r>
        <w:rPr>
          <w:rFonts w:ascii="Times New Roman" w:hAnsi="Times New Roman"/>
          <w:i/>
          <w:sz w:val="20"/>
        </w:rPr>
        <w:t>provided that</w:t>
      </w:r>
      <w:r>
        <w:rPr>
          <w:rFonts w:ascii="Times New Roman" w:hAnsi="Times New Roman"/>
          <w:sz w:val="20"/>
        </w:rPr>
        <w:t xml:space="preserve"> the term of any Option shall not exceed 10 years. In the case of an Incentive Stock Option granted to a 10% Holder, the term of the Option shall not exceed five years.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Exercise of Option; Notification of Disposition</w:t>
      </w:r>
      <w:r>
        <w:rPr>
          <w:rFonts w:ascii="Times New Roman" w:hAnsi="Times New Roman"/>
          <w:sz w:val="20"/>
        </w:rPr>
        <w:t xml:space="preserve">. Options may be exercised by delivery to the Company of a written notice of exercise signed by the proper person or by any other form of notice (including electronic notice) approved by the Board together with payment in full as specified in Section 5(f) for the number of shares for which the Option is exercised. Unless otherwise determined by the Board, an Option may not be exercised for a fraction of an Ordinary Share. Ordinary Shares subject to the Option will be delivered by the Company as soon as practicable following exercise. If an Option is designated as an Incentive Stock Option, the Participant shall give prompt notice to the Company of any disposition or other transfer of any Ordinary Shares acquired from the Option if such disposition or transfer is made (i) within two years from the grant date with respect to such Option or (ii) within one year after the transfer of such shares to the Participant (other than any such disposition made in connection with a Reorganization Event). Such notice shall specify the date of such disposition or other transfer and the amount realized, in cash, other property, assumption of indebtedness or other consideration, by the Participant in such disposition or other transfer.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Payment Upon Exercise.</w:t>
      </w:r>
      <w:r>
        <w:rPr>
          <w:rFonts w:ascii="Times New Roman" w:hAnsi="Times New Roman"/>
          <w:sz w:val="20"/>
        </w:rPr>
        <w:t xml:space="preserve"> Ordinary Shares purchased upon the exercise of an Option granted under the Plan shall be paid for as follows: </w:t>
      </w:r>
    </w:p>
    <w:p>
      <w:pPr>
        <w:pStyle w:val="TextBody"/>
        <w:bidi w:val="0"/>
        <w:spacing w:before="240" w:after="0"/>
        <w:jc w:val="left"/>
        <w:rPr>
          <w:rFonts w:ascii="Times New Roman" w:hAnsi="Times New Roman"/>
          <w:sz w:val="20"/>
        </w:rPr>
      </w:pPr>
      <w:r>
        <w:rPr>
          <w:rFonts w:ascii="Times New Roman" w:hAnsi="Times New Roman"/>
          <w:sz w:val="20"/>
        </w:rPr>
        <w:t xml:space="preserve">(i) in cash or by check, payable to the order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(ii) when the Ordinary Shares are registered under the Exchange Act, except as may otherwise be provided in the applicable option agreement, by (A) delivery of an irrevocable and unconditional undertaking by a creditworthy broker acceptable to the Company to deliver promptly to the Company sufficient funds to pay the exercise price and any required tax withholding or (B) delivery by the Participant to the Company of a copy of irrevocable and unconditional instructions to a creditworthy broker acceptable to the Company to deliver promptly to the Company cash or a check sufficient to pay the exercise price and any required tax withholding; </w:t>
      </w:r>
    </w:p>
    <w:p>
      <w:pPr>
        <w:pStyle w:val="TextBody"/>
        <w:bidi w:val="0"/>
        <w:spacing w:before="240" w:after="0"/>
        <w:jc w:val="left"/>
        <w:rPr>
          <w:rFonts w:ascii="Times New Roman" w:hAnsi="Times New Roman"/>
          <w:sz w:val="20"/>
        </w:rPr>
      </w:pPr>
      <w:r>
        <w:rPr>
          <w:rFonts w:ascii="Times New Roman" w:hAnsi="Times New Roman"/>
          <w:sz w:val="20"/>
        </w:rPr>
        <w:t>(iii) when the Ordinary Shares are registered under the Exchange Act and to the extent provided for in the applicable option agreement or approved by the Board, in its sole discretion, by delivery (either by actual delivery or attestation) of Ordinary Shares owned by the Participant valued at their fair market value as determined by (or in a manner approved by) the Board (“</w:t>
      </w:r>
      <w:r>
        <w:rPr>
          <w:rFonts w:ascii="Times New Roman" w:hAnsi="Times New Roman"/>
          <w:b/>
          <w:sz w:val="20"/>
        </w:rPr>
        <w:t>Fair Market Value</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(A) such method of payment is then permitted under applicable law, (B) such Ordinary Shares, if acquired directly from the Company, was owned by the Participant for such minimum period of time, if any, as may be established by the Board in its discretion and (C) such Ordinary Shares are not subject to any repurchase, forfeiture, unfulfilled vesting or other similar requirements; </w:t>
      </w:r>
    </w:p>
    <w:p>
      <w:pPr>
        <w:pStyle w:val="TextBody"/>
        <w:bidi w:val="0"/>
        <w:spacing w:before="240" w:after="0"/>
        <w:jc w:val="left"/>
        <w:rPr>
          <w:rFonts w:ascii="Times New Roman" w:hAnsi="Times New Roman"/>
          <w:sz w:val="20"/>
        </w:rPr>
      </w:pPr>
      <w:r>
        <w:rPr>
          <w:rFonts w:ascii="Times New Roman" w:hAnsi="Times New Roman"/>
          <w:sz w:val="20"/>
        </w:rPr>
        <w:t xml:space="preserve">(iv) to the extent permitted by applicable law and provided for in the applicable option agreement or approved by the Board, in its sole discretion, by (A) delivery of a promissory note of the Participant to the Company on terms determined by the Board, or (B) payment of such other lawful consideration as the Board may determine; </w:t>
      </w:r>
    </w:p>
    <w:p>
      <w:pPr>
        <w:pStyle w:val="TextBody"/>
        <w:bidi w:val="0"/>
        <w:spacing w:before="240" w:after="0"/>
        <w:jc w:val="left"/>
        <w:rPr>
          <w:rFonts w:ascii="Times New Roman" w:hAnsi="Times New Roman"/>
          <w:sz w:val="20"/>
        </w:rPr>
      </w:pPr>
      <w:r>
        <w:rPr>
          <w:rFonts w:ascii="Times New Roman" w:hAnsi="Times New Roman"/>
          <w:sz w:val="20"/>
        </w:rPr>
        <w:t xml:space="preserve">(v) to the extent provided for in the applicable option agreement or approved by the Board, in its sole discretion, by having the Company retain from the Ordinary Shares otherwise issuable upon the exercise of such Option a number of shares valued at their Fair Market Value; or </w:t>
      </w:r>
    </w:p>
    <w:p>
      <w:pPr>
        <w:pStyle w:val="TextBody"/>
        <w:bidi w:val="0"/>
        <w:spacing w:before="240" w:after="0"/>
        <w:jc w:val="left"/>
        <w:rPr>
          <w:rFonts w:ascii="Times New Roman" w:hAnsi="Times New Roman"/>
          <w:sz w:val="20"/>
        </w:rPr>
      </w:pPr>
      <w:r>
        <w:rPr>
          <w:rFonts w:ascii="Times New Roman" w:hAnsi="Times New Roman"/>
          <w:sz w:val="20"/>
        </w:rPr>
        <w:t xml:space="preserve">(vi) by any combination of the above permitted forms of payment or any other lawful consideration as approved by the Board in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Early Exercise of Options</w:t>
      </w:r>
      <w:r>
        <w:rPr>
          <w:rFonts w:ascii="Times New Roman" w:hAnsi="Times New Roman"/>
          <w:sz w:val="20"/>
        </w:rPr>
        <w:t xml:space="preserve">. The Board may provide in the terms of an option agreement that the Participant may exercise an Option in whole or in part prior to the full vesting of the Option in exchange for unvested shares of Restricted Stock (as defined below) with respect to any unvested portion of the Option so exercised. Shares of Restricted Stock acquired upon the exercise of any unvested portion of an Option shall be subject to such terms and conditions as the Board shall determine.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6.</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Restricted Stock; Restricted Stock Units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w:t>
      </w:r>
      <w:r>
        <w:rPr>
          <w:rFonts w:ascii="Times New Roman" w:hAnsi="Times New Roman"/>
          <w:sz w:val="20"/>
        </w:rPr>
        <w:t>. The Board may grant Awards entitling recipients to acquire Ordinary Shares (“</w:t>
      </w:r>
      <w:r>
        <w:rPr>
          <w:rFonts w:ascii="Times New Roman" w:hAnsi="Times New Roman"/>
          <w:b/>
          <w:sz w:val="20"/>
        </w:rPr>
        <w:t>Restricted Stock</w:t>
      </w:r>
      <w:r>
        <w:rPr>
          <w:rFonts w:ascii="Times New Roman" w:hAnsi="Times New Roman"/>
          <w:sz w:val="20"/>
        </w:rPr>
        <w:t>”), subject to the right of the Company to repurchase all or part of such shares at their issue price or other stated or formula price (or to require forfeiture of such shares if issued at no cost) from the recipient in the event that conditions specified by the Board in the applicable Award are not satisfied prior to the end of the applicable restriction period or periods established by the Board for such Award. The Board may also grant Awards entitling the recipient to receive Ordinary Shares or cash to be delivered at or following the time such Award vests (“</w:t>
      </w:r>
      <w:r>
        <w:rPr>
          <w:rFonts w:ascii="Times New Roman" w:hAnsi="Times New Roman"/>
          <w:b/>
          <w:sz w:val="20"/>
        </w:rPr>
        <w:t>Restricted Stock Units</w:t>
      </w:r>
      <w:r>
        <w:rPr>
          <w:rFonts w:ascii="Times New Roman" w:hAnsi="Times New Roman"/>
          <w:sz w:val="20"/>
        </w:rPr>
        <w:t>” or “</w:t>
      </w:r>
      <w:r>
        <w:rPr>
          <w:rFonts w:ascii="Times New Roman" w:hAnsi="Times New Roman"/>
          <w:b/>
          <w:sz w:val="20"/>
        </w:rPr>
        <w:t>RSUs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Terms and Conditions</w:t>
      </w:r>
      <w:r>
        <w:rPr>
          <w:rFonts w:ascii="Times New Roman" w:hAnsi="Times New Roman"/>
          <w:sz w:val="20"/>
        </w:rPr>
        <w:t xml:space="preserve">. The Board shall determine and set forth in the applicable award agreement the terms and conditions of Restricted Stock or RSUs, including the conditions for vesting and repurchase (or forfeiture) and the issue price, if any.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Additional Provisions Relating to Restricted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Dividends</w:t>
      </w:r>
      <w:r>
        <w:rPr>
          <w:rFonts w:ascii="Times New Roman" w:hAnsi="Times New Roman"/>
          <w:sz w:val="20"/>
        </w:rPr>
        <w:t xml:space="preserve">. Participants holding shares of Restricted Stock will be entitled to all ordinary cash dividends paid with respect to such shares to the extent such dividends have a record date that is on or after the date on which the Participant to whom such Restricted Stock is granted becomes the record holder of such Restricted Stock, unless otherwise provided by the Board. Unless otherwise provided by the Board, if any dividends or distributions are paid in shares, or consist of a dividend or distribution to holders of Ordinary Shares other than an ordinary cash dividend, the shares or other property will be subject to the same restrictions on transferability and forfeitability as the shares of Restricted Stock with respect to which they were paid. Each dividend payment will be made as provided in the applicable award agreement, but no later than the end of the calendar year in which the dividends are paid to shareholders of that class of stock or, if later, the 15th day of the third month following the later of (A) the date the dividends are paid to shareholders of that class of stock and (B) the date the dividends are no longer subject to forfeiture.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Share Certificates</w:t>
      </w:r>
      <w:r>
        <w:rPr>
          <w:rFonts w:ascii="Times New Roman" w:hAnsi="Times New Roman"/>
          <w:sz w:val="20"/>
        </w:rPr>
        <w:t>. The Company may require that any share certificates issued in respect of shares of Restricted Stock shall be deposited in escrow by the Participant, together with an instrument of transfer executed in blank, with the Company (or its designee). At the expiration of the applicable restriction periods, the Company (or such designee) shall deliver the certificates no longer subject to such restrictions to the Participant or if the Participant has died, to the beneficiary designated, in a manner determined by the Board, by a Participant to receive amounts due or exercise rights of the Participant in the event of the Participant’s death (the “</w:t>
      </w:r>
      <w:r>
        <w:rPr>
          <w:rFonts w:ascii="Times New Roman" w:hAnsi="Times New Roman"/>
          <w:b/>
          <w:sz w:val="20"/>
        </w:rPr>
        <w:t>Designated Beneficiary</w:t>
      </w:r>
      <w:r>
        <w:rPr>
          <w:rFonts w:ascii="Times New Roman" w:hAnsi="Times New Roman"/>
          <w:sz w:val="20"/>
        </w:rPr>
        <w:t xml:space="preserve">”). In the absence of an effective designation by a Participant, “Designated Beneficiary” shall mean the Participant’s estate.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Additional Provisions Relating to Restricted Stock Units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Settlement</w:t>
      </w:r>
      <w:r>
        <w:rPr>
          <w:rFonts w:ascii="Times New Roman" w:hAnsi="Times New Roman"/>
          <w:sz w:val="20"/>
        </w:rPr>
        <w:t xml:space="preserve">. Upon or following the vesting of a Restricted Stock Unit, the Participant shall be entitled to receive from the Company one Ordinary Share or an amount of cash or other property equal to the Fair Market Value of one Ordinary Share on the settlement date (or such other date), as the Board shall determine and as provided in the applicable award agreement. The Board may provide that settlement of Restricted Stock Units shall occur upon or as soon as reasonably practicable after the vesting of the Restricted Stock Units or shall instead be deferred, on a mandatory basis or at the election of the Participant, in a manner that complies with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Voting Rights</w:t>
      </w:r>
      <w:r>
        <w:rPr>
          <w:rFonts w:ascii="Times New Roman" w:hAnsi="Times New Roman"/>
          <w:sz w:val="20"/>
        </w:rPr>
        <w:t>. A Participant shall have no voting rights with respect to any Restricted Stock Units unless and until shares are delivered in settlement thereof.</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Dividend Equivalents</w:t>
      </w:r>
      <w:r>
        <w:rPr>
          <w:rFonts w:ascii="Times New Roman" w:hAnsi="Times New Roman"/>
          <w:sz w:val="20"/>
        </w:rPr>
        <w:t>. To the extent provided by the Board, a grant of Restricted Stock Units may provide a Participant with the right to receive Dividend Equivalents. Dividend Equivalents may be paid currently or credited to an account for the Participant, may be settled in cash and/or Ordinary Shares and may be subject to the same restrictions on transfer and forfeitability as the Restricted Stock Units with respect to which the Dividend Equivalents are paid, as determined by the Board, subject, in each case, to such terms and conditions as the Board shall establish and set forth in the applicable award agreement. “</w:t>
      </w:r>
      <w:r>
        <w:rPr>
          <w:rFonts w:ascii="Times New Roman" w:hAnsi="Times New Roman"/>
          <w:b/>
          <w:sz w:val="20"/>
        </w:rPr>
        <w:t>Dividend Equivalents</w:t>
      </w:r>
      <w:r>
        <w:rPr>
          <w:rFonts w:ascii="Times New Roman" w:hAnsi="Times New Roman"/>
          <w:sz w:val="20"/>
        </w:rPr>
        <w:t xml:space="preserve">” means a right granted to a Participant to receive the equivalent value (in cash or Ordinary Shares) of dividends paid on Ordinary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7.</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Other Stock-Based Awards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Other Awards of Ordinary Shares, and other Awards that are valued in whole or in part by reference to, or are otherwise based on, Ordinary Shares or other property, may be granted hereunder to Participants (“</w:t>
      </w:r>
      <w:r>
        <w:rPr>
          <w:rFonts w:ascii="Times New Roman" w:hAnsi="Times New Roman"/>
          <w:b/>
          <w:sz w:val="20"/>
        </w:rPr>
        <w:t>Other Stock-Based Awards</w:t>
      </w:r>
      <w:r>
        <w:rPr>
          <w:rFonts w:ascii="Times New Roman" w:hAnsi="Times New Roman"/>
          <w:sz w:val="20"/>
        </w:rPr>
        <w:t xml:space="preserve">”), including without limitation stock appreciation rights (which shall be subject to the same limitations applicable to awards of Nonstatutory Stock Options) and Awards entitling recipients to receive Ordinary Shares to be delivered in the future. Such Other Stock-Based Awards shall also be available as a form of payment in the settlement of other Awards granted under the Plan or as payment in lieu of compensation to which a Participant is otherwise entitled. Other Stock-Based Awards may be paid in Ordinary Shares or cash, as the Board shall determine. Subject to the provisions of the Plan, the Board shall determine the terms and conditions of each Other Stock-Based Award, including any purchase price, transfer restrictions, vesting conditions and other terms and conditions applicable thereto.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8.</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Adjustments for Changes in Ordinary Shares and Certain Other Events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In the event of any share split, reverse share split, share dividend, recapitalization, combination of shares, reclassification of shares, spin-off, merger, consolidation, liquidation, reorganization, or other similar change in capitalization or event, or any dividend or distribution to holders of Ordinary Shares other than an ordinary cash dividend, (i) the number and class of securities available under this Plan, (ii) the number and class of securities and exercise price per share of each outstanding Option, (iii) the number of shares subject to and the repurchase price per share subject to each other outstanding Award, and (iv) the terms of each other outstanding Award shall be equitably adjusted by the Company (or substituted Awards may be made, if applicable) in the manner determined by the Board; </w:t>
      </w:r>
      <w:r>
        <w:rPr>
          <w:rFonts w:ascii="Times New Roman" w:hAnsi="Times New Roman"/>
          <w:i/>
          <w:sz w:val="20"/>
        </w:rPr>
        <w:t>provided that</w:t>
      </w:r>
      <w:r>
        <w:rPr>
          <w:rFonts w:ascii="Times New Roman" w:hAnsi="Times New Roman"/>
          <w:sz w:val="20"/>
        </w:rPr>
        <w:t xml:space="preserve">, unless otherwise determined by the Board, such changes to the Options shall comply with Section 1.424-1 of the Treasury Regulations and Section 409A of the Code. Without limiting the generality of the foregoing, in the event the Company effects a split of the Ordinary Shares by means of a share dividend and the exercise price of and the number of shares subject to an outstanding Option are adjusted as of the date of the distribution of the dividend (rather than as of the record date for such dividend), then a Participant who exercises an Option between the record date and the distribution date for such share dividend shall be entitled to receive, on the distribution date, the share dividend with respect to the Ordinary Shares acquired upon such Option exercise, notwithstanding the fact that such shares were not outstanding as of the close of business on the record date for such share dividend.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Reorganization Events and Change in Control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b/>
          <w:sz w:val="20"/>
        </w:rPr>
        <w:t>Beneficial Owner</w:t>
      </w:r>
      <w:r>
        <w:rPr>
          <w:rFonts w:ascii="Times New Roman" w:hAnsi="Times New Roman"/>
          <w:sz w:val="20"/>
        </w:rPr>
        <w:t xml:space="preserve">” shall have the meaning set forth in Rule 13d-3 under the Exchange Act. </w:t>
      </w:r>
    </w:p>
    <w:p>
      <w:pPr>
        <w:pStyle w:val="TextBody"/>
        <w:bidi w:val="0"/>
        <w:spacing w:before="240" w:after="0"/>
        <w:jc w:val="left"/>
        <w:rPr>
          <w:rFonts w:ascii="Times New Roman" w:hAnsi="Times New Roman"/>
          <w:sz w:val="20"/>
        </w:rPr>
      </w:pPr>
      <w:r>
        <w:rPr>
          <w:rFonts w:ascii="Times New Roman" w:hAnsi="Times New Roman"/>
          <w:sz w:val="20"/>
        </w:rPr>
        <w:t>(B) A “</w:t>
      </w:r>
      <w:r>
        <w:rPr>
          <w:rFonts w:ascii="Times New Roman" w:hAnsi="Times New Roman"/>
          <w:b/>
          <w:sz w:val="20"/>
        </w:rPr>
        <w:t>Change in Control</w:t>
      </w:r>
      <w:r>
        <w:rPr>
          <w:rFonts w:ascii="Times New Roman" w:hAnsi="Times New Roman"/>
          <w:sz w:val="20"/>
        </w:rPr>
        <w:t xml:space="preserve">” means, except as otherwise provided in an Award agreement, the occurrence of any one of the following events: </w:t>
      </w:r>
    </w:p>
    <w:p>
      <w:pPr>
        <w:pStyle w:val="TextBody"/>
        <w:bidi w:val="0"/>
        <w:spacing w:before="240" w:after="0"/>
        <w:jc w:val="left"/>
        <w:rPr>
          <w:rFonts w:ascii="Times New Roman" w:hAnsi="Times New Roman"/>
          <w:sz w:val="20"/>
        </w:rPr>
      </w:pPr>
      <w:r>
        <w:rPr>
          <w:rFonts w:ascii="Times New Roman" w:hAnsi="Times New Roman"/>
          <w:sz w:val="20"/>
        </w:rPr>
        <w:t>(I) any Person (as defined below) (other than any Designated Affiliate (as defined below)) is or becomes the Beneficial Owner, directly or indirectly, of securities of the Company (not including the securities beneficially owned by such Person or any securities acquired directly from the Company or any entity in which the Company has a substantial direct or indirect equity interest, as determined by the Board from time to time (an “</w:t>
      </w:r>
      <w:r>
        <w:rPr>
          <w:rFonts w:ascii="Times New Roman" w:hAnsi="Times New Roman"/>
          <w:b/>
          <w:sz w:val="20"/>
        </w:rPr>
        <w:t>Affiliate</w:t>
      </w:r>
      <w:r>
        <w:rPr>
          <w:rFonts w:ascii="Times New Roman" w:hAnsi="Times New Roman"/>
          <w:sz w:val="20"/>
        </w:rPr>
        <w:t xml:space="preserve">”)) representing 50% or more of the combined voting power of the Company’s then outstanding securities, excluding any Person who becomes such a Beneficial Owner in connection with a transaction described in clause (III)(1) or (2)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following individuals cease for any reason to constitute a majority of the number of directors then serving: (1) individuals who, on the Effective Date (as defined below), constitute the Board and (2) any new director (other than a director whose initial assumption of office is in connection with an actual or threatened election contest, including a consent solicitation, relating to the election of directors of the Company) whose appointment or election by the Board or nomination for election by the Company’s shareholders was approved or recommended by a vote of at least a majority of the directors then still in office who were either directors on the Effective Date or whose appointment, election or nomination for election was previously so approved or recommended; </w:t>
      </w:r>
    </w:p>
    <w:p>
      <w:pPr>
        <w:pStyle w:val="TextBody"/>
        <w:bidi w:val="0"/>
        <w:spacing w:before="240" w:after="0"/>
        <w:jc w:val="left"/>
        <w:rPr>
          <w:rFonts w:ascii="Times New Roman" w:hAnsi="Times New Roman"/>
          <w:sz w:val="20"/>
        </w:rPr>
      </w:pPr>
      <w:r>
        <w:rPr>
          <w:rFonts w:ascii="Times New Roman" w:hAnsi="Times New Roman"/>
          <w:sz w:val="20"/>
        </w:rPr>
        <w:t xml:space="preserve">(III) there is consummated a merger or consolidation of the Company or any direct or indirect subsidiary of the Company with any other entity (other than with any Designated Affiliate), other than (1) a merger or consolidation which would result in the holders of the voting securities of the Company outstanding immediately prior to such merger or consolidation continuing to represent (either by remaining outstanding or by being converted into voting securities of the surviving entity or any parent thereof) at least 50% of the combined voting power of the securities of the Company or such surviving entity or any parent thereof outstanding immediately after such merger or consolidation, or (2) a reverse merger or similar transaction; </w:t>
      </w:r>
    </w:p>
    <w:p>
      <w:pPr>
        <w:pStyle w:val="TextBody"/>
        <w:bidi w:val="0"/>
        <w:spacing w:before="240" w:after="0"/>
        <w:jc w:val="left"/>
        <w:rPr>
          <w:rFonts w:ascii="Times New Roman" w:hAnsi="Times New Roman"/>
          <w:sz w:val="20"/>
        </w:rPr>
      </w:pPr>
      <w:r>
        <w:rPr>
          <w:rFonts w:ascii="Times New Roman" w:hAnsi="Times New Roman"/>
          <w:sz w:val="20"/>
        </w:rPr>
        <w:t xml:space="preserve">(IV) the implementation of a plan of complete liquidation or dissolution of the Company; or </w:t>
      </w:r>
    </w:p>
    <w:p>
      <w:pPr>
        <w:pStyle w:val="TextBody"/>
        <w:bidi w:val="0"/>
        <w:spacing w:before="240" w:after="0"/>
        <w:jc w:val="left"/>
        <w:rPr>
          <w:rFonts w:ascii="Times New Roman" w:hAnsi="Times New Roman"/>
          <w:sz w:val="20"/>
        </w:rPr>
      </w:pPr>
      <w:r>
        <w:rPr>
          <w:rFonts w:ascii="Times New Roman" w:hAnsi="Times New Roman"/>
          <w:sz w:val="20"/>
        </w:rPr>
        <w:t xml:space="preserve">(V) there is consummated a sale or disposition by the Company of all or substantially all of the Company’s assets, other than a sale or disposition by the Company of all or substantially all of the Company’s assets to (1) an entity, at least 50% of the combined voting power of the voting securities of which is owned by shareholders of the Company in substantially the same proportions as their ownership of the Company immediately prior to such sale or (2) any Designated Affiliate.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b/>
          <w:sz w:val="20"/>
        </w:rPr>
        <w:t>Designated Affiliates</w:t>
      </w:r>
      <w:r>
        <w:rPr>
          <w:rFonts w:ascii="Times New Roman" w:hAnsi="Times New Roman"/>
          <w:sz w:val="20"/>
        </w:rPr>
        <w:t>” means Fairmount Healthcare Fund II, L.P., its respective Controlled Affiliates, and any entity in which any such entity has a substantial direct or indirect equity interest, as determined by the Board from time to time; provided, however, that Fairmount Healthcare Fund II, L.P., its Controlled Affiliates, and any entity in which any such entity has a substantial direct or indirect equity interest, as determined by the Board from time to time, will cease to be Designated Affiliates at the time they no longer are the Beneficial Owner of securities of the Company represents at least 10% of the combined voting power of the Company’s then outstanding securities. For purposes of this definition, “</w:t>
      </w:r>
      <w:r>
        <w:rPr>
          <w:rFonts w:ascii="Times New Roman" w:hAnsi="Times New Roman"/>
          <w:b/>
          <w:sz w:val="20"/>
        </w:rPr>
        <w:t>Controlled Affiliates</w:t>
      </w:r>
      <w:r>
        <w:rPr>
          <w:rFonts w:ascii="Times New Roman" w:hAnsi="Times New Roman"/>
          <w:sz w:val="20"/>
        </w:rPr>
        <w:t xml:space="preserve">” means any Person referred to in the preceding sentence that, directly or indirectly, through one or more intermediaries, is controlling, controlled by, or under common control with, such other Person.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b/>
          <w:sz w:val="20"/>
        </w:rPr>
        <w:t>Person</w:t>
      </w:r>
      <w:r>
        <w:rPr>
          <w:rFonts w:ascii="Times New Roman" w:hAnsi="Times New Roman"/>
          <w:sz w:val="20"/>
        </w:rPr>
        <w:t xml:space="preserve">” shall have the meaning given in Section 3(a)(9) of the Exchange Act, as modified and used in Sections 14(d) and 15(d) thereof, except that such term shall not include (I) the Company or any of its Affiliates, (II) a trustee or other fiduciary holding securities under an employee benefit plan of the Company or any of its subsidiaries, (III) an underwriter temporarily holding securities pursuant to an offering of such securities or (IV) a corporation owned, directly or indirectly, by the shareholders of the Company in substantially the same proportions as their ownership of shares of the Company. </w:t>
      </w:r>
    </w:p>
    <w:p>
      <w:pPr>
        <w:pStyle w:val="TextBody"/>
        <w:bidi w:val="0"/>
        <w:spacing w:before="240" w:after="0"/>
        <w:jc w:val="left"/>
        <w:rPr>
          <w:rFonts w:ascii="Times New Roman" w:hAnsi="Times New Roman"/>
          <w:sz w:val="20"/>
        </w:rPr>
      </w:pPr>
      <w:r>
        <w:rPr>
          <w:rFonts w:ascii="Times New Roman" w:hAnsi="Times New Roman"/>
          <w:sz w:val="20"/>
        </w:rPr>
        <w:t>(E) A “</w:t>
      </w:r>
      <w:r>
        <w:rPr>
          <w:rFonts w:ascii="Times New Roman" w:hAnsi="Times New Roman"/>
          <w:b/>
          <w:sz w:val="20"/>
        </w:rPr>
        <w:t>Reorganization Event</w:t>
      </w:r>
      <w:r>
        <w:rPr>
          <w:rFonts w:ascii="Times New Roman" w:hAnsi="Times New Roman"/>
          <w:sz w:val="20"/>
        </w:rPr>
        <w:t xml:space="preserve">” means the consummation of: (I) the dissolution or liquidation of the Company, (II) the sale of all or substantially all of the assets of the Company on a consolidated basis to an unrelated Person, (III) a merger, reorganization or consolidation pursuant to which all or substantially all of the Persons who were Beneficial Owners of the Company’s outstanding voting power immediately prior to such transaction do not own, directly or indirectly, a majority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(determined on an as-converted basis) of the outstanding voting power of the surviving or resulting entity (or its ultimate parent, if applicable), (IV) the acquisition of all or a majority of the outstanding voting stock of the Company in a single transaction or a series of a related transactions by a Person or group of Persons, or (V) any other acquisition of the business of the Company, as determined by the Board; </w:t>
      </w:r>
      <w:r>
        <w:rPr>
          <w:rFonts w:ascii="Times New Roman" w:hAnsi="Times New Roman"/>
          <w:i/>
          <w:sz w:val="20"/>
        </w:rPr>
        <w:t>provided, however</w:t>
      </w:r>
      <w:r>
        <w:rPr>
          <w:rFonts w:ascii="Times New Roman" w:hAnsi="Times New Roman"/>
          <w:sz w:val="20"/>
        </w:rPr>
        <w:t xml:space="preserve">, that the first firm commitment underwritten public offering pursuant to an effective registration statement under the Securities Act of 1933, as amended, covering the offer and sale by the Company of its equity securities, as a result of or following which the Ordinary Shares shall be public, any subsequent public offering or another capital raising event, or a merger effected solely to change the Company’s domicile shall not constitute a “Reorganization Event.”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Consequences of a Reorganization Event or Change in Control on Awards</w:t>
      </w:r>
      <w:r>
        <w:rPr>
          <w:rFonts w:ascii="Times New Roman" w:hAnsi="Times New Roman"/>
          <w:sz w:val="20"/>
        </w:rPr>
        <w:t xml:space="preserve">. In connection with a Reorganization Event and/or a Change in Control, the Board may take any one or more of the following actions as to all or any (or any portion of) outstanding Awards on such terms as the Board determines: (A) provide that Awards shall be assumed, or substantially equivalent Awards shall be substituted, by the acquiring or succeeding corporation (or an affiliate thereof); </w:t>
      </w:r>
      <w:r>
        <w:rPr>
          <w:rFonts w:ascii="Times New Roman" w:hAnsi="Times New Roman"/>
          <w:i/>
          <w:sz w:val="20"/>
        </w:rPr>
        <w:t>provided that</w:t>
      </w:r>
      <w:r>
        <w:rPr>
          <w:rFonts w:ascii="Times New Roman" w:hAnsi="Times New Roman"/>
          <w:sz w:val="20"/>
        </w:rPr>
        <w:t>, unless otherwise determined by the Board, such assumption or substitution of the Options shall comply with Section 1.424-1 of the Treasury Regulations and Section 409A of the Code, (B) upon written notice to a Participant, provide that the Participant’s unexercised Awards will terminate immediately prior to the consummation of such Reorganization Event unless exercised by the Participant within a specified period following the date of such notice, (C) provide that outstanding Awards shall become vested, exercisable, realizable, or deliverable, or restrictions applicable to an Award shall lapse, in whole or in part prior to or upon such Reorganization Event, (D) in the event of a Reorganization Event under the terms of which holders of Ordinary Shares will receive upon consummation thereof a cash payment for each share surrendered in the Reorganization Event (the “</w:t>
      </w:r>
      <w:r>
        <w:rPr>
          <w:rFonts w:ascii="Times New Roman" w:hAnsi="Times New Roman"/>
          <w:b/>
          <w:sz w:val="20"/>
        </w:rPr>
        <w:t>Acquisition Price</w:t>
      </w:r>
      <w:r>
        <w:rPr>
          <w:rFonts w:ascii="Times New Roman" w:hAnsi="Times New Roman"/>
          <w:sz w:val="20"/>
        </w:rPr>
        <w:t xml:space="preserve">”), make or provide for a cash payment to a Participant equal to the excess, if any, of (I) the Acquisition Price times the number of Ordinary Shares subject to the Participant’s Awards (to the extent the exercise price does not equal or exceed the Acquisition Price) over (II) the aggregate exercise price of all such outstanding Awards and any applicable tax withholdings, in exchange for the termination of such Awards (and the Board may cancel and terminate without payment or consideration any Award with an exercise price equal to or in excess of the Acquisition Price), (E) provide that, in connection with a liquidation or dissolution of the Company, Awards shall convert into the right to receive liquidation proceeds (if applicable, net of the exercise price thereof and any applicable tax withholdings) and (F) any combination of the foregoing. In taking any of the actions permitted under this Section 8(b), the Board shall not be obligated by the Plan to treat all Awards, all Awards held by a Participant, or all Awards of the same type, identically.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clause (A) above, an Option shall be considered assumed if, following consummation of the Reorganization Event or Change in Control, the Option confers the right to purchase, for each Ordinary Share subject to the Option immediately prior to the consummation of the Reorganization Event or Change in Control, the consideration (whether cash, securities or other property) received as a result of the Reorganization Event or Change in Control by holders of Ordinary Shares for each Ordinary Share held immediately prior to the consummation of the Reorganization Event or Change in Control (and if holders were offered a choice of consideration, the type of consideration chosen by the holders of a majority of the outstanding Ordinary Shares); </w:t>
      </w:r>
      <w:r>
        <w:rPr>
          <w:rFonts w:ascii="Times New Roman" w:hAnsi="Times New Roman"/>
          <w:i/>
          <w:sz w:val="20"/>
        </w:rPr>
        <w:t>provided, however</w:t>
      </w:r>
      <w:r>
        <w:rPr>
          <w:rFonts w:ascii="Times New Roman" w:hAnsi="Times New Roman"/>
          <w:sz w:val="20"/>
        </w:rPr>
        <w:t xml:space="preserve">, that if the consideration received as a result of the Reorganization Event or Change in Control is not solely common stock of the acquiring or succeeding corporation (or an affiliate thereof), the Company may, with the consent of the acquiring or succeeding corporation, provide for the consideration to be received upon the exercise of Options to consist solely of common stock of the acquiring or succeeding corporation (or an affiliate thereof) equivalent in value (as determined by the Board) to the per share consideration received by holders of outstanding Ordinary Shares as a result of the Reorganization Event or Change in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9.</w:t>
            </w:r>
          </w:p>
        </w:tc>
        <w:tc>
          <w:tcPr>
            <w:tcW w:w="9697"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General Provisions Applicable to Awards</w:t>
            </w:r>
            <w:r>
              <w:rPr>
                <w:rFonts w:ascii="Times New Roman" w:hAnsi="Times New Roman"/>
                <w:b/>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Transferability of Awards</w:t>
      </w:r>
      <w:r>
        <w:rPr>
          <w:rFonts w:ascii="Times New Roman" w:hAnsi="Times New Roman"/>
          <w:sz w:val="20"/>
        </w:rPr>
        <w:t>. Except as the Board may otherwise determine or provide in an Award, Awards shall not be sold, assigned, transferred, pledged or otherwise encumbered by the person to whom they are granted, either voluntarily or by operation of law, except by will or the laws of descent and distribution or, other than in the case of an Incentive Stock Option, pursuant to a qualified domestic relations order, and during the life of the Participant, shall be exercisable only by the Participant. Notwithstanding the foregoing, as permitted by the Committee, a Participant may transfer or assign an Award as a gift to any “family member” (as such term is defined in Rule 701 promulgated under the Securities Act) (an “</w:t>
      </w:r>
      <w:r>
        <w:rPr>
          <w:rFonts w:ascii="Times New Roman" w:hAnsi="Times New Roman"/>
          <w:b/>
          <w:i/>
          <w:sz w:val="20"/>
        </w:rPr>
        <w:t>Assignee Entity</w:t>
      </w:r>
      <w:r>
        <w:rPr>
          <w:rFonts w:ascii="Times New Roman" w:hAnsi="Times New Roman"/>
          <w:sz w:val="20"/>
        </w:rPr>
        <w:t xml:space="preserve">”), provided that such Assignee Entity shall be entitled to exercise assigned Options and Stock Appreciation Rights only during the lifetime of the assigning Participant (or following the assigning Participant’s death, by the Participant’s beneficiaries or as otherwise permitted by the Committee) and provided further that such Assignee Entity shall not further sell, pledge, transfer, assign, or otherwise alienate or hypothecate such Award. References to a Participant, to the extent relevant in the context, shall include references to authorized transferees.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Documentation</w:t>
      </w:r>
      <w:r>
        <w:rPr>
          <w:rFonts w:ascii="Times New Roman" w:hAnsi="Times New Roman"/>
          <w:sz w:val="20"/>
        </w:rPr>
        <w:t xml:space="preserve">. Each Award shall be evidenced in such form (written, electronic or otherwise) as the Board shall determine. Each Award may contain terms and conditions in addition to those set forth in the Plan.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Board Discretion</w:t>
      </w:r>
      <w:r>
        <w:rPr>
          <w:rFonts w:ascii="Times New Roman" w:hAnsi="Times New Roman"/>
          <w:sz w:val="20"/>
        </w:rPr>
        <w:t xml:space="preserve">. Except as otherwise provided by the Plan, each Award may be made alone or in addition or in relation to any other Award. The terms of each Award need not be identical, and the Board need not treat Participants uniformly.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Termination of Status</w:t>
      </w:r>
      <w:r>
        <w:rPr>
          <w:rFonts w:ascii="Times New Roman" w:hAnsi="Times New Roman"/>
          <w:sz w:val="20"/>
        </w:rPr>
        <w:t xml:space="preserve">. The Board shall determine the effect on an Award of the disability, death, retirement, termination or other cessation of employment, authorized leave of absence or other change in the employment or other status of a Participant and the extent to which, and the period during which, the Participant, or the Participant’s legal representative, conservator, guardian or Designated Beneficiary, may exercise rights under the Award. </w:t>
      </w:r>
    </w:p>
    <w:p>
      <w:pPr>
        <w:pStyle w:val="TextBody"/>
        <w:bidi w:val="0"/>
        <w:spacing w:before="240" w:after="0"/>
        <w:jc w:val="left"/>
        <w:rPr>
          <w:rFonts w:ascii="Times New Roman" w:hAnsi="Times New Roman"/>
          <w:sz w:val="20"/>
        </w:rPr>
      </w:pPr>
      <w:r>
        <w:rPr>
          <w:rFonts w:ascii="Times New Roman" w:hAnsi="Times New Roman"/>
          <w:sz w:val="20"/>
        </w:rPr>
        <w:t>(i) For purposes of the Plan, “</w:t>
      </w:r>
      <w:r>
        <w:rPr>
          <w:rFonts w:ascii="Times New Roman" w:hAnsi="Times New Roman"/>
          <w:b/>
          <w:sz w:val="20"/>
        </w:rPr>
        <w:t>Cause</w:t>
      </w:r>
      <w:r>
        <w:rPr>
          <w:rFonts w:ascii="Times New Roman" w:hAnsi="Times New Roman"/>
          <w:sz w:val="20"/>
        </w:rPr>
        <w:t xml:space="preserve">” has the meaning set forth in the written employment, offer, services or severance agreement or letter between the Participant and the Company or its subsidiary, or in any severance plan in which the Participant participates, or if there is no such agreement or plan or no such term is defined in such agreement or plan, means (A) the Participant’s dishonest statements or acts with respect to the Company or any affiliate of the Company, or any current or prospective customers, suppliers, vendors or other third parties with which such entity does business that results in or is reasonably anticipated to result in material harm to the Company; (B) the Participant’s conviction or plea of no contest to (1) a felony (as such term is construed in accordance with U.S. law) or (2) any misdemeanor involving moral turpitude, deceit, dishonesty or fraud; (C) the Participant’s failure to perform in all material respects the Participant’s assigned duties and responsibilities; (D) the Participant’s gross negligence (as such term is construed in accordance with U.S. law), willful misconduct that results in or is reasonably anticipated to result in harm to the Company; or (E) the Participant’s violation of any material provision of any agreement(s) between the Participant and the Company or its subsidiary or any Company policies including, without limitation, agreements relating to non-competition, non-solicitation, non-disparagement, non-disclosure and/or assignment of inventions or policies related to ethics or workplace conduct. </w:t>
      </w:r>
    </w:p>
    <w:p>
      <w:pPr>
        <w:pStyle w:val="TextBody"/>
        <w:bidi w:val="0"/>
        <w:spacing w:before="240" w:after="0"/>
        <w:jc w:val="left"/>
        <w:rPr>
          <w:rFonts w:ascii="Times New Roman" w:hAnsi="Times New Roman"/>
          <w:sz w:val="20"/>
        </w:rPr>
      </w:pPr>
      <w:r>
        <w:rPr>
          <w:rFonts w:ascii="Times New Roman" w:hAnsi="Times New Roman"/>
          <w:sz w:val="20"/>
        </w:rPr>
        <w:t>(ii) For purposes of the Plan, “</w:t>
      </w:r>
      <w:r>
        <w:rPr>
          <w:rFonts w:ascii="Times New Roman" w:hAnsi="Times New Roman"/>
          <w:b/>
          <w:sz w:val="20"/>
        </w:rPr>
        <w:t>Disability</w:t>
      </w:r>
      <w:r>
        <w:rPr>
          <w:rFonts w:ascii="Times New Roman" w:hAnsi="Times New Roman"/>
          <w:sz w:val="20"/>
        </w:rPr>
        <w:t xml:space="preserve">” shall mean a permanent and total disability within the meaning of Section 22(e)(3)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Withholding</w:t>
      </w:r>
      <w:r>
        <w:rPr>
          <w:rFonts w:ascii="Times New Roman" w:hAnsi="Times New Roman"/>
          <w:sz w:val="20"/>
        </w:rPr>
        <w:t xml:space="preserve">. The Company shall not be obligated to deliver certificates, release from forfeiture, otherwise recognize a Participant’s unrestricted ownership in an Award or the cash or property proceeds therefrom, until the Company satisfies all applicable federal, state, and local or other income and employment tax withholding obligations. In its sole discretion, the Company may satisfy such withholding obligations by any of the following means or by a combination of such means: (i) causing the Participant to tender to the Company cash payment; (ii) withholding cash from an Award settled in cash; (iii) withholding from amounts otherwise payable by the Company to the Participant, including but not limited to additional withholding on the Participant’s salary or wages, or from proceeds from the sale of Ordinary Shares issued pursuant to an Award; (iv) delivery of Ordinary Shares, including shares retained from the Award creating the tax obligation, valued at their Fair Market Value; </w:t>
      </w:r>
      <w:r>
        <w:rPr>
          <w:rFonts w:ascii="Times New Roman" w:hAnsi="Times New Roman"/>
          <w:i/>
          <w:sz w:val="20"/>
        </w:rPr>
        <w:t>provided, however</w:t>
      </w:r>
      <w:r>
        <w:rPr>
          <w:rFonts w:ascii="Times New Roman" w:hAnsi="Times New Roman"/>
          <w:sz w:val="20"/>
        </w:rPr>
        <w:t xml:space="preserve">, except as otherwise provided by the Board, that the total tax withholding where stock is being used to satisfy such tax obligations cannot exceed the Company’s maximum statutory withholding obligations (based on maximum statutory withholding rates for federal and state tax purposes, including payroll taxes, that are applicable to such supplemental taxable income), and </w:t>
      </w:r>
      <w:r>
        <w:rPr>
          <w:rFonts w:ascii="Times New Roman" w:hAnsi="Times New Roman"/>
          <w:i/>
          <w:sz w:val="20"/>
        </w:rPr>
        <w:t>provided, further</w:t>
      </w:r>
      <w:r>
        <w:rPr>
          <w:rFonts w:ascii="Times New Roman" w:hAnsi="Times New Roman"/>
          <w:sz w:val="20"/>
        </w:rPr>
        <w:t xml:space="preserve">, shares surrendered to satisfy tax withholding requirements cannot be subject to any repurchase, forfeiture, unfulfilled vesting or other similar requirements; or (v) by such other method as determined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Amendment of Award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The Board may amend, modify or terminate any outstanding Award, including but not limited to, substituting therefor another Award of the same or a different type, changing the date of exercise or settlement, and converting an Incentive Stock Option to a Nonstatutory Stock Option. The Participant’s consent to such action shall be required unless (A) the Board determines that the action, taking into account any related action, would not materially and adversely affect the Participant’s rights under the Plan, (B) the change is permitted under Section 8 hereof, or (C) the change is to ensure that an Option intended to qualify as an Incentive Stock Option qualifies as such. </w:t>
      </w:r>
    </w:p>
    <w:p>
      <w:pPr>
        <w:pStyle w:val="TextBody"/>
        <w:bidi w:val="0"/>
        <w:spacing w:before="240" w:after="0"/>
        <w:jc w:val="left"/>
        <w:rPr>
          <w:rFonts w:ascii="Times New Roman" w:hAnsi="Times New Roman"/>
          <w:sz w:val="20"/>
        </w:rPr>
      </w:pPr>
      <w:r>
        <w:rPr>
          <w:rFonts w:ascii="Times New Roman" w:hAnsi="Times New Roman"/>
          <w:sz w:val="20"/>
        </w:rPr>
        <w:t xml:space="preserve">(ii) The Board may, without shareholder approval, amend any outstanding Award granted under the Plan to provide an exercise price per share that is lower than the then-current exercise price per share of such outstanding Award. The Board may also, without shareholder approval, cancel any outstanding award (whether or not granted under the Plan) and grant in substitution therefor new Awards under the Plan covering the same or a different number of Ordinary Shares and having an exercise price per share lower than the then-current exercise price per share of the cancelled award.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Conditions on Delivery of Stock</w:t>
      </w:r>
      <w:r>
        <w:rPr>
          <w:rFonts w:ascii="Times New Roman" w:hAnsi="Times New Roman"/>
          <w:sz w:val="20"/>
        </w:rPr>
        <w:t xml:space="preserve">. The Company will not be obligated to deliver any Ordinary Shares pursuant to the Plan or to remove restrictions from shares previously delivered under the Plan until (i) all conditions of the Award have been met or removed to the satisfaction of the Company, (ii) in the opinion of the Company’s counsel, all other legal matters in connection with the issuance and delivery of such shares have been satisfied, including any applicable securities laws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 The inability of the Company to obtain authority from any regulatory body having jurisdiction, which authority is determined by the Board to be necessary to the lawful issuance and sale of any securities hereunder, shall relieve the Company of any liability in respect of the failure to issue or sell such shares as to which such requisite authority was not obtained.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Acceleration</w:t>
      </w:r>
      <w:r>
        <w:rPr>
          <w:rFonts w:ascii="Times New Roman" w:hAnsi="Times New Roman"/>
          <w:sz w:val="20"/>
        </w:rPr>
        <w:t xml:space="preserve">. The Board may at any time provide that any Award shall become immediately exercisable in full or in part, free of some or all restrictions or conditions, or otherwise realizable in full or in part, as the case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10.</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Miscellaneous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Right To Employment or Other Status</w:t>
      </w:r>
      <w:r>
        <w:rPr>
          <w:rFonts w:ascii="Times New Roman" w:hAnsi="Times New Roman"/>
          <w:sz w:val="20"/>
        </w:rPr>
        <w:t xml:space="preserve">. No person shall have any claim or right to be granted an Award,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Rights As Shareholder</w:t>
      </w:r>
      <w:r>
        <w:rPr>
          <w:rFonts w:ascii="Times New Roman" w:hAnsi="Times New Roman"/>
          <w:sz w:val="20"/>
        </w:rPr>
        <w:t xml:space="preserve">. Subject to the provisions of the applicable Award, no Participant or Designated Beneficiary shall have any rights as a shareholder with respect to any Ordinary Shares to be distributed with respect to an Award until the Participant’s name has been entered in the register of members of the Company as the holder of such shares. Notwithstanding any other provision of the Plan, unless otherwise determined by the Board or required by any applicable laws, the Company shall not be required to deliver to any Participant certificates evidencing Ordinary Shares issued in connection with any Award and instead the ownership of such Ordinary Shares may be recorded in the register of members of the Company (or, as applicable, its transfer agent or stock plan administrator). The Company may place legends on any share certificates issued under the Plan deemed necessary or appropriate by the Board in order to comply with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Effective Date and Term of Plan</w:t>
      </w:r>
      <w:r>
        <w:rPr>
          <w:rFonts w:ascii="Times New Roman" w:hAnsi="Times New Roman"/>
          <w:sz w:val="20"/>
        </w:rPr>
        <w:t>. The Plan shall become effective on the date on which it is adopted by the Board (the “</w:t>
      </w:r>
      <w:r>
        <w:rPr>
          <w:rFonts w:ascii="Times New Roman" w:hAnsi="Times New Roman"/>
          <w:b/>
          <w:sz w:val="20"/>
        </w:rPr>
        <w:t>Effective Date</w:t>
      </w:r>
      <w:r>
        <w:rPr>
          <w:rFonts w:ascii="Times New Roman" w:hAnsi="Times New Roman"/>
          <w:sz w:val="20"/>
        </w:rPr>
        <w:t xml:space="preserve">”). No Awards shall be granted under the Plan after the expiration of 10 years from the earlier of (i) the Effective Date or (ii) the date the Plan was approved by the Company’s shareholders, but Awards previously granted may extend beyond that date.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Amendment of Plan</w:t>
      </w:r>
      <w:r>
        <w:rPr>
          <w:rFonts w:ascii="Times New Roman" w:hAnsi="Times New Roman"/>
          <w:sz w:val="20"/>
        </w:rPr>
        <w:t xml:space="preserve">. The Board may amend, suspend or terminate the Plan or any portion thereof at any time; </w:t>
      </w:r>
      <w:r>
        <w:rPr>
          <w:rFonts w:ascii="Times New Roman" w:hAnsi="Times New Roman"/>
          <w:i/>
          <w:sz w:val="20"/>
        </w:rPr>
        <w:t>provided that</w:t>
      </w:r>
      <w:r>
        <w:rPr>
          <w:rFonts w:ascii="Times New Roman" w:hAnsi="Times New Roman"/>
          <w:sz w:val="20"/>
        </w:rPr>
        <w:t xml:space="preserve"> if at any time the approval of a Company shareholder is required as to any modification or amendment under Section 422 of the Code or any successor provision with respect to Incentive Stock Options or pursuant to any other applicable law or regulation, the Board may not effect such modification or amendment without shareholder approval. Unless otherwise specified in the amendment, any amendment to the Plan adopted in accordance with this Section 10(d) shall apply to, and be binding on the holders of, all Awards outstanding under the Plan at the time the amendment is adopted, </w:t>
      </w:r>
      <w:r>
        <w:rPr>
          <w:rFonts w:ascii="Times New Roman" w:hAnsi="Times New Roman"/>
          <w:i/>
          <w:sz w:val="20"/>
        </w:rPr>
        <w:t>provided</w:t>
      </w:r>
      <w:r>
        <w:rPr>
          <w:rFonts w:ascii="Times New Roman" w:hAnsi="Times New Roman"/>
          <w:sz w:val="20"/>
        </w:rPr>
        <w:t xml:space="preserve"> the Board determines that such amendment does not materially and adversely affect the rights of Participants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Authorization of Sub-Plans</w:t>
      </w:r>
      <w:r>
        <w:rPr>
          <w:rFonts w:ascii="Times New Roman" w:hAnsi="Times New Roman"/>
          <w:sz w:val="20"/>
        </w:rPr>
        <w:t xml:space="preserve">. The Board may from time to time establish one or more sub-plans under the Plan for purposes of satisfying applicable blue sky, securities or tax laws of various jurisdictions. The Board shall establish such sub-plans by adopting supplements to this Plan containing (i) such limitations on the Board’s discretion under the Plan as the Board deems necessary or desirable or (ii) such additional terms and conditions not otherwise inconsistent with the Plan as the Board shall deem necessary or desirable. All supplements adopted by the Board shall be deemed to be part of the Plan, but each supplement shall apply only to Participants within the affected jurisdiction and the Company shall not be required to provide copies of any supplement to Participants in any jurisdiction which is not the subject of such supplement.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Compliance with Code Section 409A</w:t>
      </w:r>
      <w:r>
        <w:rPr>
          <w:rFonts w:ascii="Times New Roman" w:hAnsi="Times New Roman"/>
          <w:sz w:val="20"/>
        </w:rPr>
        <w:t xml:space="preserve">. Unless otherwise expressly provided for in an Award, the Plan and Award will be interpreted to the greatest extent possible in a manner that makes the Plan and the Awards granted hereunder exempt from Section 409A of the Code, and, to the extent not so exempt, in compliance with Section 409A of the Code. If the Board determines that any Award granted hereunder is not exempt from and is therefore subject to Section 409A of the Code, the Award will incorporate the terms and conditions necessary to avoid the consequences specified in Section 409A(a)(1) of the Code, and to the extent an Award is silent on terms necessary for compliance, such terms as deemed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necessary by the Board in its sole discretion are hereby incorporated by reference into the Award. Without limiting the generality of the foregoing, if Ordinary Shares are publicly traded, and if a Participant holding an Award that constitutes “deferred compensation” under Section 409A of the Code is a “specified employee” for purposes of Section 409A of the Code, no distribution or payment of any amount that is due because of a “separation from service” (as defined in Section 409A of the Code without regard to alternative definitions thereunder) will be issued or paid before the date that is six months following the date of such Participant’s “separation from service” or, if earlier, the date of the Participant’s death, unless such distribution or payment can be made in a manner that complies with Section 409A of the Code, and any amounts so deferred will be paid in a lump sum on the day after such six month period elapses, with the balance paid thereafter on the original schedule. The Company shall have no liability to a Participant, or any other party, if an Award that is intended to be exempt from, or compliant with, Section 409A of the Code is not so exempt or compliant or for any other action taken by the Board.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Governing Law</w:t>
      </w:r>
      <w:r>
        <w:rPr>
          <w:rFonts w:ascii="Times New Roman" w:hAnsi="Times New Roman"/>
          <w:sz w:val="20"/>
        </w:rPr>
        <w:t xml:space="preserve">. The provisions of the Plan and all Awards made hereunder shall be governed by and interpreted in accordance with the laws of the Cayman Islands, excluding choice-of-law principles of the law of such jurisdiction that would require the application of the laws of a jurisdiction other than the Cayman Islands.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Data Privacy</w:t>
      </w:r>
      <w:r>
        <w:rPr>
          <w:rFonts w:ascii="Times New Roman" w:hAnsi="Times New Roman"/>
          <w:sz w:val="20"/>
        </w:rPr>
        <w:t>. As a condition of receipt of any Award, each Participant explicitly and unambiguously consents to the collection, use and transfer, in electronic or other form, of personal data as described in this paragraph by and among, as applicable, the Company and its subsidiaries and affiliates for the exclusive purpose of implementing, administering and managing the Participant’s participation in the Plan. The Company and its subsidiaries and affiliates may hold certain personal information about a Participant, including but not limited to, the Participant’s name, home address and telephone number, date of birth, social security or insurance number or other identification number, salary, nationality, job title(s), any shares of stock held in the Company or any of its subsidiaries and affiliates, details of all Awards, in each case, for the purpose of implementing, managing and administering the Plan and Awards (the “</w:t>
      </w:r>
      <w:r>
        <w:rPr>
          <w:rFonts w:ascii="Times New Roman" w:hAnsi="Times New Roman"/>
          <w:b/>
          <w:sz w:val="20"/>
        </w:rPr>
        <w:t>Data</w:t>
      </w:r>
      <w:r>
        <w:rPr>
          <w:rFonts w:ascii="Times New Roman" w:hAnsi="Times New Roman"/>
          <w:sz w:val="20"/>
        </w:rPr>
        <w:t xml:space="preserve">”). The Company and its subsidiaries and affiliates may transfer the Data amongst themselves as necessary for the purpose of implementation, administration and management of a Participant’s participation in the Plan, and the Company and its subsidiaries and affiliates may each further transfer the Data to any third parties assisting the Company in the implementation, administration and management of the Plan. These recipients may be located in the Participant’s country, or elsewhere, and the Participant’s country may have different data privacy laws and protections than the recipients’ country. Through acceptance of an Award, each Participant authorizes such recipients to receive, possess, use, retain and transfer the Data, in electronic or other form, for the purposes of implementing, administering and managing the Participant’s participation in the Plan, including any requisite transfer of such Data as may be required to a broker or other third party with whom the Company or the Participant may elect to deposit any Ordinary Shares. The Data related to a Participant will be held only as long as is necessary to implement, administer, and manage the Participant’s participation in the Plan. A Participant may, at any time, view the Data held by the Company with respect to such Participant, request additional information about the storage and processing of the Data with respect to such Participant, recommend any necessary corrections to the Data with respect to the Participant or refuse or withdraw the consents herein in writing, in any case without cost, by contacting his or her local human resources representative. The Company may cancel Participant’s ability to participate in the Plan and, in the Board’s discretion, the Participant may forfeit any outstanding Awards if the Participant refuses or withdraws his or her consents as described herein. For more information on the consequences of refusal to consent or withdrawal of consent, Participants may contact their local human resources representative.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Restrictions on Shares; Clawback Provisions</w:t>
      </w:r>
      <w:r>
        <w:rPr>
          <w:rFonts w:ascii="Times New Roman" w:hAnsi="Times New Roman"/>
          <w:sz w:val="20"/>
        </w:rPr>
        <w:t xml:space="preserve">. Ordinary Shares acquired in respect of Awards shall be subject to such terms and conditions as the Board shall determine, including, without limitation, restrictions on the transferability of Ordinary Shares, the right of the Company to repurchase Ordinary Shares, the right of the Company to require that Ordinary Shares be transferred in the event of certain transactions, tag-along rights, bring-along rights, redemption and co-sale rights and voting requirements. Such terms and conditions may be additional to those contained in the Plan and may, as determined by the Board, be contained in the applicable Award agreement or in an exercise notice, shareholders’ agreement or in such other agreement as the Board shall determine, in each case in a form determined by the Board. The issuance of such Ordinary Shares shall be conditioned on the Participant’s consent to such terms and conditions and the Participant’s entering into such agreement or agreements. All Awards (including any proceeds, gains or other economic benefit actually or constructively received by Participant upon any receipt or exercise of any Award or upon the receipt or resale of any Ordinary Shares underlying the Award) shall be subject to the provisions of any clawback policy implemented by the Company, including, without limitation, any clawback policy adopted to comply with the requirements of the Dodd-Frank Wall Street Reform and Consumer Protection Act and any rules or regulations promulgated thereunder, to the extent set forth in such clawback policy and/or in the applicable Award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DAMORA THERAPEUTICS, INC.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2025 EQUITY INCENTIVE PLAN </w:t>
      </w:r>
    </w:p>
    <w:p>
      <w:pPr>
        <w:pStyle w:val="TextBody"/>
        <w:bidi w:val="0"/>
        <w:spacing w:before="240" w:after="0"/>
        <w:jc w:val="center"/>
        <w:rPr>
          <w:rFonts w:ascii="Times New Roman" w:hAnsi="Times New Roman"/>
          <w:b/>
          <w:sz w:val="20"/>
        </w:rPr>
      </w:pPr>
      <w:r>
        <w:rPr>
          <w:rFonts w:ascii="Times New Roman" w:hAnsi="Times New Roman"/>
          <w:b/>
          <w:sz w:val="20"/>
        </w:rPr>
        <w:t xml:space="preserve">CALIFORNIA SUPPLEMENT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10(e) of the Plan, the Board has adopted this supplement for purposes of satisfying the requirements of Section 25102(o) of the California Corporations Code: </w:t>
      </w:r>
    </w:p>
    <w:p>
      <w:pPr>
        <w:pStyle w:val="TextBody"/>
        <w:bidi w:val="0"/>
        <w:spacing w:before="240" w:after="0"/>
        <w:jc w:val="left"/>
        <w:rPr>
          <w:rFonts w:ascii="Times New Roman" w:hAnsi="Times New Roman"/>
          <w:sz w:val="20"/>
        </w:rPr>
      </w:pPr>
      <w:r>
        <w:rPr>
          <w:rFonts w:ascii="Times New Roman" w:hAnsi="Times New Roman"/>
          <w:sz w:val="20"/>
        </w:rPr>
        <w:t>Any Awards granted under the Plan to a Participant who is a resident of the State of California on the date of grant (a “</w:t>
      </w:r>
      <w:r>
        <w:rPr>
          <w:rFonts w:ascii="Times New Roman" w:hAnsi="Times New Roman"/>
          <w:b/>
          <w:sz w:val="20"/>
        </w:rPr>
        <w:t>California Participant</w:t>
      </w:r>
      <w:r>
        <w:rPr>
          <w:rFonts w:ascii="Times New Roman" w:hAnsi="Times New Roman"/>
          <w:sz w:val="20"/>
        </w:rPr>
        <w:t xml:space="preserve">”) shall be subject to the following additional limitations, terms and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Additional Limitations on Options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Maximum Duration of Options</w:t>
      </w:r>
      <w:r>
        <w:rPr>
          <w:rFonts w:ascii="Times New Roman" w:hAnsi="Times New Roman"/>
          <w:sz w:val="20"/>
        </w:rPr>
        <w:t xml:space="preserve">. No Options granted to California Participants shall have a term in excess of 10 years measured from the Option grant date.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Minimum Exercise Period Following Termination</w:t>
      </w:r>
      <w:r>
        <w:rPr>
          <w:rFonts w:ascii="Times New Roman" w:hAnsi="Times New Roman"/>
          <w:sz w:val="20"/>
        </w:rPr>
        <w:t xml:space="preserve">. Unless a California Participant’s employment is terminated for cause (as defined by applicable law, the terms of any contract of employment between the Company and such Participant, or in the instrument evidencing the grant of such Participant’s Option), in the event of termination of employment of such Participant, such Participant shall have the right to exercise an Option, to the extent that he or she was otherwise entitled to exercise such Option on the date employment terminated, as follows: (i) at least six months from the date of termination, if termination was caused by such Participant’s death or “permanent and total disability” (within the meaning of Section 22(e)(3) of the Code) and (ii) at least 30 days from the date of termination, if termination was caused other than by such Participant’s death or “permanent and total disability” (within the meaning of Section 22(e)(3) of the Code).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2.</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Additional Limitations for Other Stock-Based Awards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terms of all Awards granted to a California Participant under Section 7 of the Plan shall comply, to the extent applicable, with Section 260.140.41 or Section 260.140.42 of the California Regulations.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Additional Requirement to Provide Information to California Participants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To the extent required by Section 260.140.46 of the California Regulations, the Company shall provide to each California Participant and to each California Participant who acquires Ordinary Shares pursuant to the Plan, not less frequently than annually, copies of annual financial statements (which need not be audited). The Company shall not be required to provide such statements to key employees whose duties in connection with the Company assure their access to equivalent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4.</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Additional Limitations on Timing of Awards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 Award granted to a California Participant shall become exercisable, vested or realizable, as applicable to such Award, unless the Plan has been approved by the holders of a majority of the Company’s outstanding voting securities within 12 months before or after the date the Plan was adopted by the Board.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5.</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Additional Restriction Regarding Recapitalizations, Stock Splits, Etc</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purposes of Section 8 of the Plan, in the event of a share split, reverse share split, share dividend, recapitalization, combination, reclassification or other distribution of the Company’s securities, the number of securities allocated to each California Participant must be adjusted proportionately and without the receipt by the Company of any consideration from any California Participant.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p>
    <w:p>
      <w:pPr>
        <w:pStyle w:val="TextBody"/>
        <w:bidi w:val="0"/>
        <w:spacing w:before="0" w:after="0"/>
        <w:jc w:val="right"/>
        <w:rPr>
          <w:rFonts w:ascii="Times New Roman" w:hAnsi="Times New Roman"/>
          <w:b/>
          <w:sz w:val="20"/>
        </w:rPr>
      </w:pPr>
      <w:bookmarkStart w:id="9" w:name="d135820dex45.htm"/>
      <w:bookmarkStart w:id="10" w:name="ksd135820dex45"/>
      <w:bookmarkEnd w:id="9"/>
      <w:bookmarkEnd w:id="10"/>
      <w:r>
        <w:rPr>
          <w:rFonts w:ascii="Times New Roman" w:hAnsi="Times New Roman"/>
          <w:b/>
          <w:sz w:val="20"/>
        </w:rPr>
        <w:t xml:space="preserve">Exhibit 4.5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DAMORA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2022 INDUCEMENT PLAN </w:t>
      </w:r>
    </w:p>
    <w:p>
      <w:pPr>
        <w:pStyle w:val="TextBody"/>
        <w:bidi w:val="0"/>
        <w:spacing w:before="36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GENERAL PURPOSE OF THE PLAN; DEFINITIONS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name of the plan is the Damora Therapeutics, Inc. 2022 Inducement Plan (the “Plan”). The purpose of the Plan is to enable Damora Therapeutics, Inc. (the “Company”) to grant equity awards to induce highly-qualified prospective officers and employees who are not currently employed by the Company and its Affiliates to accept employment and provide them with a proprietary interest in the Company. It is anticipated that providing such persons with a direct stake in the Company’s welfare will assure a closer identification of their interests with those of the Company and its shareholders, thereby stimulating their efforts on the Company’s behalf and strengthening their desire to remain with the Company. The Company intends that the Plan be reserved for persons to whom the Company may issue securities without shareholder approval as an inducement pursuant to Rule 5635(c)(4) of the Marketplace Rules of the NASDAQ Stock Market, Inc.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terms shall be defined as set forth below: </w:t>
      </w:r>
    </w:p>
    <w:p>
      <w:pPr>
        <w:pStyle w:val="TextBody"/>
        <w:bidi w:val="0"/>
        <w:spacing w:before="240" w:after="0"/>
        <w:jc w:val="left"/>
        <w:rPr/>
      </w:pPr>
      <w:r>
        <w:rPr/>
        <w:t>“</w:t>
      </w:r>
      <w:r>
        <w:rPr>
          <w:rFonts w:ascii="Times New Roman" w:hAnsi="Times New Roman"/>
          <w:i/>
          <w:sz w:val="20"/>
        </w:rPr>
        <w:t>Act”</w:t>
      </w:r>
      <w:r>
        <w:rPr>
          <w:rFonts w:ascii="Times New Roman" w:hAnsi="Times New Roman"/>
          <w:sz w:val="20"/>
        </w:rPr>
        <w:t xml:space="preserve"> means the U.S. Securities Act of 1933, as amended, and the rules and regulations thereunder. </w:t>
      </w:r>
    </w:p>
    <w:p>
      <w:pPr>
        <w:pStyle w:val="TextBody"/>
        <w:bidi w:val="0"/>
        <w:spacing w:before="240" w:after="0"/>
        <w:jc w:val="left"/>
        <w:rPr/>
      </w:pPr>
      <w:r>
        <w:rPr/>
        <w:t>“</w:t>
      </w:r>
      <w:r>
        <w:rPr>
          <w:rFonts w:ascii="Times New Roman" w:hAnsi="Times New Roman"/>
          <w:i/>
          <w:sz w:val="20"/>
        </w:rPr>
        <w:t>Administrator</w:t>
      </w:r>
      <w:r>
        <w:rPr>
          <w:rFonts w:ascii="Times New Roman" w:hAnsi="Times New Roman"/>
          <w:sz w:val="20"/>
        </w:rPr>
        <w:t xml:space="preserve">” means either the Board or the compensation committee of the Board or a similar committee performing the functions of the compensation committee and which is comprised of not less than two Non-Employee Directors who are independent. </w:t>
      </w:r>
    </w:p>
    <w:p>
      <w:pPr>
        <w:pStyle w:val="TextBody"/>
        <w:bidi w:val="0"/>
        <w:spacing w:before="240" w:after="0"/>
        <w:jc w:val="left"/>
        <w:rPr/>
      </w:pPr>
      <w:r>
        <w:rPr/>
        <w:t>“</w:t>
      </w:r>
      <w:r>
        <w:rPr>
          <w:rFonts w:ascii="Times New Roman" w:hAnsi="Times New Roman"/>
          <w:i/>
          <w:sz w:val="20"/>
        </w:rPr>
        <w:t>Affiliate</w:t>
      </w:r>
      <w:r>
        <w:rPr>
          <w:rFonts w:ascii="Times New Roman" w:hAnsi="Times New Roman"/>
          <w:sz w:val="20"/>
        </w:rPr>
        <w:t xml:space="preserve">” means, at the time of determination, any “parent” or “subsidiary” of the Company as such terms are defined in Rule 405 of the Act. The Board will have the authority to determine the time or times at which “parent” or “subsidiary” status is determined within the foregoing definition. </w:t>
      </w:r>
    </w:p>
    <w:p>
      <w:pPr>
        <w:pStyle w:val="TextBody"/>
        <w:bidi w:val="0"/>
        <w:spacing w:before="240" w:after="0"/>
        <w:jc w:val="left"/>
        <w:rPr/>
      </w:pPr>
      <w:r>
        <w:rPr/>
        <w:t>“</w:t>
      </w:r>
      <w:r>
        <w:rPr>
          <w:rFonts w:ascii="Times New Roman" w:hAnsi="Times New Roman"/>
          <w:i/>
          <w:sz w:val="20"/>
        </w:rPr>
        <w:t>Award”</w:t>
      </w:r>
      <w:r>
        <w:rPr>
          <w:rFonts w:ascii="Times New Roman" w:hAnsi="Times New Roman"/>
          <w:sz w:val="20"/>
        </w:rPr>
        <w:t xml:space="preserve"> or “</w:t>
      </w:r>
      <w:r>
        <w:rPr>
          <w:rFonts w:ascii="Times New Roman" w:hAnsi="Times New Roman"/>
          <w:i/>
          <w:sz w:val="20"/>
        </w:rPr>
        <w:t>Awards,”</w:t>
      </w:r>
      <w:r>
        <w:rPr>
          <w:rFonts w:ascii="Times New Roman" w:hAnsi="Times New Roman"/>
          <w:sz w:val="20"/>
        </w:rPr>
        <w:t xml:space="preserve"> except where referring to a particular category of grant under the Plan, shall include Non-Qualified Stock Options, Stock Appreciation Rights, Restricted Stock Units, Restricted Stock Awards, Unrestricted Stock Awards, and Dividend Equivalent Rights. </w:t>
      </w:r>
    </w:p>
    <w:p>
      <w:pPr>
        <w:pStyle w:val="TextBody"/>
        <w:bidi w:val="0"/>
        <w:spacing w:before="240" w:after="0"/>
        <w:jc w:val="left"/>
        <w:rPr/>
      </w:pPr>
      <w:r>
        <w:rPr/>
        <w:t>“</w:t>
      </w:r>
      <w:r>
        <w:rPr>
          <w:rFonts w:ascii="Times New Roman" w:hAnsi="Times New Roman"/>
          <w:i/>
          <w:sz w:val="20"/>
        </w:rPr>
        <w:t>Award Agreement”</w:t>
      </w:r>
      <w:r>
        <w:rPr>
          <w:rFonts w:ascii="Times New Roman" w:hAnsi="Times New Roman"/>
          <w:sz w:val="20"/>
        </w:rPr>
        <w:t xml:space="preserve"> means a written or electronic document setting forth the terms and provisions applicable to an Award granted under the Plan. Each Award Agreement is subject to the terms and conditions of the Plan. </w:t>
      </w:r>
    </w:p>
    <w:p>
      <w:pPr>
        <w:pStyle w:val="TextBody"/>
        <w:bidi w:val="0"/>
        <w:spacing w:before="240" w:after="0"/>
        <w:jc w:val="left"/>
        <w:rPr/>
      </w:pPr>
      <w:r>
        <w:rPr/>
        <w:t>“</w:t>
      </w:r>
      <w:r>
        <w:rPr>
          <w:rFonts w:ascii="Times New Roman" w:hAnsi="Times New Roman"/>
          <w:i/>
          <w:sz w:val="20"/>
        </w:rPr>
        <w:t>Board”</w:t>
      </w:r>
      <w:r>
        <w:rPr>
          <w:rFonts w:ascii="Times New Roman" w:hAnsi="Times New Roman"/>
          <w:sz w:val="20"/>
        </w:rPr>
        <w:t xml:space="preserve"> means the Board of Directors of the Company. </w:t>
      </w:r>
    </w:p>
    <w:p>
      <w:pPr>
        <w:pStyle w:val="TextBody"/>
        <w:bidi w:val="0"/>
        <w:spacing w:before="240" w:after="0"/>
        <w:jc w:val="left"/>
        <w:rPr/>
      </w:pPr>
      <w:r>
        <w:rPr/>
        <w:t>“</w:t>
      </w:r>
      <w:r>
        <w:rPr>
          <w:rFonts w:ascii="Times New Roman" w:hAnsi="Times New Roman"/>
          <w:i/>
          <w:sz w:val="20"/>
        </w:rPr>
        <w:t>Code”</w:t>
      </w:r>
      <w:r>
        <w:rPr>
          <w:rFonts w:ascii="Times New Roman" w:hAnsi="Times New Roman"/>
          <w:sz w:val="20"/>
        </w:rPr>
        <w:t xml:space="preserve"> means the U.S. Internal Revenue Code of 1986, as amended, and any successor Code, and related rules, regulations and interpretations.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 xml:space="preserve">Consultant” </w:t>
      </w:r>
      <w:r>
        <w:rPr>
          <w:rFonts w:ascii="Times New Roman" w:hAnsi="Times New Roman"/>
          <w:sz w:val="20"/>
        </w:rPr>
        <w:t xml:space="preserve">means a consultant or adviser who provides bona fide services to the Company or an Affiliate as an independent contractor and who qualifies as a consultant or advisor under Instruction A.1.(a)(1) of Form S-8 under the Act. </w:t>
      </w:r>
    </w:p>
    <w:p>
      <w:pPr>
        <w:pStyle w:val="TextBody"/>
        <w:bidi w:val="0"/>
        <w:spacing w:before="240" w:after="0"/>
        <w:jc w:val="left"/>
        <w:rPr/>
      </w:pPr>
      <w:r>
        <w:rPr/>
        <w:t>“</w:t>
      </w:r>
      <w:r>
        <w:rPr>
          <w:rFonts w:ascii="Times New Roman" w:hAnsi="Times New Roman"/>
          <w:i/>
          <w:sz w:val="20"/>
        </w:rPr>
        <w:t>Dividend Equivalent Right”</w:t>
      </w:r>
      <w:r>
        <w:rPr>
          <w:rFonts w:ascii="Times New Roman" w:hAnsi="Times New Roman"/>
          <w:sz w:val="20"/>
        </w:rPr>
        <w:t xml:space="preserve"> means an Award entitling the grantee to receive credits based on ordinary cash dividends that would have been paid on the Shares specified in the Dividend Equivalent Right (or other award to which it relates) if such shares had been issued to and held by the grantee. </w:t>
      </w:r>
    </w:p>
    <w:p>
      <w:pPr>
        <w:pStyle w:val="TextBody"/>
        <w:bidi w:val="0"/>
        <w:spacing w:before="240" w:after="0"/>
        <w:jc w:val="left"/>
        <w:rPr/>
      </w:pPr>
      <w:r>
        <w:rPr/>
        <w:t>“</w:t>
      </w:r>
      <w:r>
        <w:rPr>
          <w:rFonts w:ascii="Times New Roman" w:hAnsi="Times New Roman"/>
          <w:i/>
          <w:sz w:val="20"/>
        </w:rPr>
        <w:t>Effective Date”</w:t>
      </w:r>
      <w:r>
        <w:rPr>
          <w:rFonts w:ascii="Times New Roman" w:hAnsi="Times New Roman"/>
          <w:sz w:val="20"/>
        </w:rPr>
        <w:t xml:space="preserve"> means the date on which the Plan is approved by the Board as set forth in Section 19. </w:t>
      </w:r>
    </w:p>
    <w:p>
      <w:pPr>
        <w:pStyle w:val="TextBody"/>
        <w:bidi w:val="0"/>
        <w:spacing w:before="240" w:after="0"/>
        <w:jc w:val="left"/>
        <w:rPr/>
      </w:pPr>
      <w:r>
        <w:rPr/>
        <w:t>“</w:t>
      </w:r>
      <w:r>
        <w:rPr>
          <w:rFonts w:ascii="Times New Roman" w:hAnsi="Times New Roman"/>
          <w:i/>
          <w:sz w:val="20"/>
        </w:rPr>
        <w:t>Exchange Act”</w:t>
      </w:r>
      <w:r>
        <w:rPr>
          <w:rFonts w:ascii="Times New Roman" w:hAnsi="Times New Roman"/>
          <w:sz w:val="20"/>
        </w:rPr>
        <w:t xml:space="preserve"> means the U.S. Securities Exchange Act of 1934, as amended, and the rules and regulations thereunder. </w:t>
      </w:r>
    </w:p>
    <w:p>
      <w:pPr>
        <w:pStyle w:val="TextBody"/>
        <w:bidi w:val="0"/>
        <w:spacing w:before="240" w:after="0"/>
        <w:jc w:val="left"/>
        <w:rPr/>
      </w:pPr>
      <w:r>
        <w:rPr/>
        <w:t>“</w:t>
      </w:r>
      <w:r>
        <w:rPr>
          <w:rFonts w:ascii="Times New Roman" w:hAnsi="Times New Roman"/>
          <w:i/>
          <w:sz w:val="20"/>
        </w:rPr>
        <w:t>Fair Market Value”</w:t>
      </w:r>
      <w:r>
        <w:rPr>
          <w:rFonts w:ascii="Times New Roman" w:hAnsi="Times New Roman"/>
          <w:sz w:val="20"/>
        </w:rPr>
        <w:t xml:space="preserve"> of the Shares on any given date means the fair market value of the Shares determined in good faith by the Administrator; provided, however, that if the Shares are listed on the National Association of Securities Dealers Automated Quotation System (“NASDAQ”), NASDAQ Global Market, The New York Stock Exchange or another national securities exchange or traded on any established market, the determination shall be made by reference to the last sales price on the date immediately preceding such given date. </w:t>
      </w:r>
    </w:p>
    <w:p>
      <w:pPr>
        <w:pStyle w:val="TextBody"/>
        <w:bidi w:val="0"/>
        <w:spacing w:before="240" w:after="0"/>
        <w:jc w:val="left"/>
        <w:rPr/>
      </w:pPr>
      <w:r>
        <w:rPr/>
        <w:t>“</w:t>
      </w:r>
      <w:r>
        <w:rPr>
          <w:rFonts w:ascii="Times New Roman" w:hAnsi="Times New Roman"/>
          <w:i/>
          <w:sz w:val="20"/>
        </w:rPr>
        <w:t xml:space="preserve">Non-Employee Director” </w:t>
      </w:r>
      <w:r>
        <w:rPr>
          <w:rFonts w:ascii="Times New Roman" w:hAnsi="Times New Roman"/>
          <w:sz w:val="20"/>
        </w:rPr>
        <w:t xml:space="preserve">means a member of the Board who is not also an employee of the Company or any Subsidiary. </w:t>
      </w:r>
    </w:p>
    <w:p>
      <w:pPr>
        <w:pStyle w:val="TextBody"/>
        <w:bidi w:val="0"/>
        <w:spacing w:before="240" w:after="0"/>
        <w:jc w:val="left"/>
        <w:rPr/>
      </w:pPr>
      <w:r>
        <w:rPr/>
        <w:t>“</w:t>
      </w:r>
      <w:r>
        <w:rPr>
          <w:rFonts w:ascii="Times New Roman" w:hAnsi="Times New Roman"/>
          <w:i/>
          <w:sz w:val="20"/>
        </w:rPr>
        <w:t>Non-Qualified Stock Option”</w:t>
      </w:r>
      <w:r>
        <w:rPr>
          <w:rFonts w:ascii="Times New Roman" w:hAnsi="Times New Roman"/>
          <w:sz w:val="20"/>
        </w:rPr>
        <w:t xml:space="preserve"> means any Stock Option that is not an “incentive stock option” under Section 422 of the Code. </w:t>
      </w:r>
    </w:p>
    <w:p>
      <w:pPr>
        <w:pStyle w:val="TextBody"/>
        <w:bidi w:val="0"/>
        <w:spacing w:before="240" w:after="0"/>
        <w:jc w:val="left"/>
        <w:rPr/>
      </w:pPr>
      <w:r>
        <w:rPr/>
        <w:t>“</w:t>
      </w:r>
      <w:r>
        <w:rPr>
          <w:rFonts w:ascii="Times New Roman" w:hAnsi="Times New Roman"/>
          <w:i/>
          <w:sz w:val="20"/>
        </w:rPr>
        <w:t>Option”</w:t>
      </w:r>
      <w:r>
        <w:rPr>
          <w:rFonts w:ascii="Times New Roman" w:hAnsi="Times New Roman"/>
          <w:sz w:val="20"/>
        </w:rPr>
        <w:t xml:space="preserve"> or “</w:t>
      </w:r>
      <w:r>
        <w:rPr>
          <w:rFonts w:ascii="Times New Roman" w:hAnsi="Times New Roman"/>
          <w:i/>
          <w:sz w:val="20"/>
        </w:rPr>
        <w:t>Stock Option”</w:t>
      </w:r>
      <w:r>
        <w:rPr>
          <w:rFonts w:ascii="Times New Roman" w:hAnsi="Times New Roman"/>
          <w:sz w:val="20"/>
        </w:rPr>
        <w:t xml:space="preserve"> means any option to purchase Shares granted pursuant to Section 5. </w:t>
      </w:r>
    </w:p>
    <w:p>
      <w:pPr>
        <w:pStyle w:val="TextBody"/>
        <w:bidi w:val="0"/>
        <w:spacing w:before="240" w:after="0"/>
        <w:jc w:val="left"/>
        <w:rPr/>
      </w:pPr>
      <w:r>
        <w:rPr/>
        <w:t>“</w:t>
      </w:r>
      <w:r>
        <w:rPr>
          <w:rFonts w:ascii="Times New Roman" w:hAnsi="Times New Roman"/>
          <w:i/>
          <w:sz w:val="20"/>
        </w:rPr>
        <w:t>Restricted Shares”</w:t>
      </w:r>
      <w:r>
        <w:rPr>
          <w:rFonts w:ascii="Times New Roman" w:hAnsi="Times New Roman"/>
          <w:sz w:val="20"/>
        </w:rPr>
        <w:t xml:space="preserve"> means the Shares underlying a Restricted Stock Award that remain subject to a risk of forfeiture or the Company’s right of repurchase. </w:t>
      </w:r>
    </w:p>
    <w:p>
      <w:pPr>
        <w:pStyle w:val="TextBody"/>
        <w:bidi w:val="0"/>
        <w:spacing w:before="240" w:after="0"/>
        <w:jc w:val="left"/>
        <w:rPr/>
      </w:pPr>
      <w:r>
        <w:rPr/>
        <w:t>“</w:t>
      </w:r>
      <w:r>
        <w:rPr>
          <w:rFonts w:ascii="Times New Roman" w:hAnsi="Times New Roman"/>
          <w:i/>
          <w:sz w:val="20"/>
        </w:rPr>
        <w:t>Restricted Stock Award”</w:t>
      </w:r>
      <w:r>
        <w:rPr>
          <w:rFonts w:ascii="Times New Roman" w:hAnsi="Times New Roman"/>
          <w:sz w:val="20"/>
        </w:rPr>
        <w:t xml:space="preserve"> means an Award of Restricted Shares subject to such restrictions and conditions as the Administrator may determine at the time of grant. </w:t>
      </w:r>
    </w:p>
    <w:p>
      <w:pPr>
        <w:pStyle w:val="TextBody"/>
        <w:bidi w:val="0"/>
        <w:spacing w:before="240" w:after="0"/>
        <w:jc w:val="left"/>
        <w:rPr/>
      </w:pPr>
      <w:r>
        <w:rPr/>
        <w:t>“</w:t>
      </w:r>
      <w:r>
        <w:rPr>
          <w:rFonts w:ascii="Times New Roman" w:hAnsi="Times New Roman"/>
          <w:i/>
          <w:sz w:val="20"/>
        </w:rPr>
        <w:t>Restricted Stock Units”</w:t>
      </w:r>
      <w:r>
        <w:rPr>
          <w:rFonts w:ascii="Times New Roman" w:hAnsi="Times New Roman"/>
          <w:sz w:val="20"/>
        </w:rPr>
        <w:t xml:space="preserve"> means an Award of stock units subject to such restrictions and conditions as the Administrator may determine at the time of grant. </w:t>
      </w:r>
    </w:p>
    <w:p>
      <w:pPr>
        <w:pStyle w:val="TextBody"/>
        <w:bidi w:val="0"/>
        <w:spacing w:before="240" w:after="0"/>
        <w:jc w:val="left"/>
        <w:rPr/>
      </w:pPr>
      <w:r>
        <w:rPr/>
        <w:t>“</w:t>
      </w:r>
      <w:r>
        <w:rPr>
          <w:rFonts w:ascii="Times New Roman" w:hAnsi="Times New Roman"/>
          <w:i/>
          <w:sz w:val="20"/>
        </w:rPr>
        <w:t>Sale Event”</w:t>
      </w:r>
      <w:r>
        <w:rPr>
          <w:rFonts w:ascii="Times New Roman" w:hAnsi="Times New Roman"/>
          <w:sz w:val="20"/>
        </w:rPr>
        <w:t xml:space="preserve"> means: (i) the sale of all or substantially all of the assets of the Company on a consolidated basis to an unrelated person or entity; (ii) a merger, reorganization or consolidation pursuant to which the holders of the Company’s outstanding voting power and outstanding shares immediately prior to such transaction do not own a majority of the outstanding voting power and outstanding shares or other equity interests of the resulting or successor entity (or its ultimate parent, if applicable) immediately upon completion of such transaction, (iii) the sale of all of the Shares of the Company to an unrelated person, entity or group thereof acting in concert, or (iv) any other transaction in which the owners of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the event an Award is subject to Section 409A, no such event shall constitute a payment event unless such event is also a change of control event as defined by Section 409A. </w:t>
      </w:r>
    </w:p>
    <w:p>
      <w:pPr>
        <w:pStyle w:val="TextBody"/>
        <w:bidi w:val="0"/>
        <w:spacing w:before="240" w:after="0"/>
        <w:jc w:val="left"/>
        <w:rPr/>
      </w:pPr>
      <w:r>
        <w:rPr/>
        <w:t>“</w:t>
      </w:r>
      <w:r>
        <w:rPr>
          <w:rFonts w:ascii="Times New Roman" w:hAnsi="Times New Roman"/>
          <w:i/>
          <w:sz w:val="20"/>
        </w:rPr>
        <w:t>Sale Price</w:t>
      </w:r>
      <w:r>
        <w:rPr>
          <w:rFonts w:ascii="Times New Roman" w:hAnsi="Times New Roman"/>
          <w:sz w:val="20"/>
        </w:rPr>
        <w:t xml:space="preserve">” means the value as determined by the Administrator of the consideration payable, or otherwise to be received by shareholders, per Share pursuant to a Sale Event. </w:t>
      </w:r>
    </w:p>
    <w:p>
      <w:pPr>
        <w:pStyle w:val="TextBody"/>
        <w:bidi w:val="0"/>
        <w:spacing w:before="240" w:after="0"/>
        <w:jc w:val="left"/>
        <w:rPr/>
      </w:pPr>
      <w:r>
        <w:rPr/>
        <w:t>“</w:t>
      </w:r>
      <w:r>
        <w:rPr>
          <w:rFonts w:ascii="Times New Roman" w:hAnsi="Times New Roman"/>
          <w:i/>
          <w:sz w:val="20"/>
        </w:rPr>
        <w:t>Section</w:t>
      </w:r>
      <w:r>
        <w:rPr>
          <w:rFonts w:ascii="Times New Roman" w:hAnsi="Times New Roman"/>
          <w:sz w:val="20"/>
        </w:rPr>
        <w:t> </w:t>
      </w:r>
      <w:r>
        <w:rPr>
          <w:rFonts w:ascii="Times New Roman" w:hAnsi="Times New Roman"/>
          <w:i/>
          <w:sz w:val="20"/>
        </w:rPr>
        <w:t>409A”</w:t>
      </w:r>
      <w:r>
        <w:rPr>
          <w:rFonts w:ascii="Times New Roman" w:hAnsi="Times New Roman"/>
          <w:sz w:val="20"/>
        </w:rPr>
        <w:t xml:space="preserve"> means Section 409A of the Code and the regulations and other guidance promulgated thereunder. </w:t>
      </w:r>
    </w:p>
    <w:p>
      <w:pPr>
        <w:pStyle w:val="TextBody"/>
        <w:bidi w:val="0"/>
        <w:spacing w:before="240" w:after="0"/>
        <w:jc w:val="left"/>
        <w:rPr/>
      </w:pPr>
      <w:r>
        <w:rPr/>
        <w:t>“</w:t>
      </w:r>
      <w:r>
        <w:rPr>
          <w:rFonts w:ascii="Times New Roman" w:hAnsi="Times New Roman"/>
          <w:i/>
          <w:sz w:val="20"/>
        </w:rPr>
        <w:t xml:space="preserve">Service Relationship” </w:t>
      </w:r>
      <w:r>
        <w:rPr>
          <w:rFonts w:ascii="Times New Roman" w:hAnsi="Times New Roman"/>
          <w:sz w:val="20"/>
        </w:rPr>
        <w:t xml:space="preserve">means any relationship as an employee, Non-Employee Director or Consultant of the Company or any Affiliate (e.g., a Service Relationship shall be deemed to continue without interruption in the event an individual’s status changes from full-time Employee to part-time employee or Consultant). Notwithstanding anything to the contrary contained in the Plan, an Award Agreement, or otherwise, the following shall not constitute a termination of a grantee’s Service Relationship: (i) a transfer to the service of the Company from an Affiliate or from the Company to an Affiliate, or from one Affiliate to another Affiliate or (ii) an approved leave of absence for military service or sickness, or for any other purpose approved by the Administrator, if the individual’s right to re-employment is guaranteed either by a statute or by contract or under the policy pursuant to which the leave of absence was granted or if the Administrator otherwise so provides in writing. </w:t>
      </w:r>
    </w:p>
    <w:p>
      <w:pPr>
        <w:pStyle w:val="TextBody"/>
        <w:bidi w:val="0"/>
        <w:spacing w:before="240" w:after="0"/>
        <w:jc w:val="left"/>
        <w:rPr/>
      </w:pPr>
      <w:r>
        <w:rPr/>
        <w:t>“</w:t>
      </w:r>
      <w:r>
        <w:rPr>
          <w:rFonts w:ascii="Times New Roman" w:hAnsi="Times New Roman"/>
          <w:i/>
          <w:sz w:val="20"/>
        </w:rPr>
        <w:t>Shares”</w:t>
      </w:r>
      <w:r>
        <w:rPr>
          <w:rFonts w:ascii="Times New Roman" w:hAnsi="Times New Roman"/>
          <w:sz w:val="20"/>
        </w:rPr>
        <w:t xml:space="preserve"> means the Ordinary Shares, par value $0.00001 per share, of the Company, subject to adjustments pursuant to Section 3. </w:t>
      </w:r>
    </w:p>
    <w:p>
      <w:pPr>
        <w:pStyle w:val="TextBody"/>
        <w:bidi w:val="0"/>
        <w:spacing w:before="240" w:after="0"/>
        <w:jc w:val="left"/>
        <w:rPr/>
      </w:pPr>
      <w:r>
        <w:rPr/>
        <w:t>“</w:t>
      </w:r>
      <w:r>
        <w:rPr>
          <w:rFonts w:ascii="Times New Roman" w:hAnsi="Times New Roman"/>
          <w:i/>
          <w:sz w:val="20"/>
        </w:rPr>
        <w:t>Stock Appreciation Right”</w:t>
      </w:r>
      <w:r>
        <w:rPr>
          <w:rFonts w:ascii="Times New Roman" w:hAnsi="Times New Roman"/>
          <w:sz w:val="20"/>
        </w:rPr>
        <w:t xml:space="preserve"> means an Award entitling the recipient to receive Shares (or cash, to the extent explicitly provided for in the applicable Award Agreement) having a value equal to the excess of the Fair Market Value of the Shares on the date of exercise over the exercise price of the Stock Appreciation Right multiplied by the number of Shares with respect to which the Stock Appreciation Right shall have been exercised. </w:t>
      </w:r>
    </w:p>
    <w:p>
      <w:pPr>
        <w:pStyle w:val="TextBody"/>
        <w:bidi w:val="0"/>
        <w:spacing w:before="240" w:after="0"/>
        <w:jc w:val="left"/>
        <w:rPr/>
      </w:pPr>
      <w:r>
        <w:rPr/>
        <w:t>“</w:t>
      </w:r>
      <w:r>
        <w:rPr>
          <w:rFonts w:ascii="Times New Roman" w:hAnsi="Times New Roman"/>
          <w:i/>
          <w:sz w:val="20"/>
        </w:rPr>
        <w:t>Subsidiary”</w:t>
      </w:r>
      <w:r>
        <w:rPr>
          <w:rFonts w:ascii="Times New Roman" w:hAnsi="Times New Roman"/>
          <w:sz w:val="20"/>
        </w:rPr>
        <w:t xml:space="preserve"> means any corporation or other entity (other than the Company) in which the Company has at least a 50 percent interest, either directly or indirectly. </w:t>
      </w:r>
    </w:p>
    <w:p>
      <w:pPr>
        <w:pStyle w:val="TextBody"/>
        <w:bidi w:val="0"/>
        <w:spacing w:before="240" w:after="0"/>
        <w:jc w:val="left"/>
        <w:rPr/>
      </w:pPr>
      <w:r>
        <w:rPr/>
        <w:t>“</w:t>
      </w:r>
      <w:r>
        <w:rPr>
          <w:rFonts w:ascii="Times New Roman" w:hAnsi="Times New Roman"/>
          <w:i/>
          <w:sz w:val="20"/>
        </w:rPr>
        <w:t>Unrestricted Stock Award”</w:t>
      </w:r>
      <w:r>
        <w:rPr>
          <w:rFonts w:ascii="Times New Roman" w:hAnsi="Times New Roman"/>
          <w:sz w:val="20"/>
        </w:rPr>
        <w:t xml:space="preserve"> means an Award of Shares free of any restrictions.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ADMINISTRATION OF PLAN; ADMINISTRATOR AUTHORITY TO SELECT GRANTEES AND DETERMINE AWARDS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Administration of Plan</w:t>
      </w:r>
      <w:r>
        <w:rPr>
          <w:rFonts w:ascii="Times New Roman" w:hAnsi="Times New Roman"/>
          <w:sz w:val="20"/>
        </w:rPr>
        <w:t xml:space="preserve">. The Plan shall be administered by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Powers of Administrator</w:t>
      </w:r>
      <w:r>
        <w:rPr>
          <w:rFonts w:ascii="Times New Roman" w:hAnsi="Times New Roman"/>
          <w:sz w:val="20"/>
        </w:rPr>
        <w:t xml:space="preserve">. The Administrator shall have the power and authority to grant Awards consistent with the terms of the Plan, including the power and authority: </w:t>
      </w:r>
    </w:p>
    <w:p>
      <w:pPr>
        <w:pStyle w:val="TextBody"/>
        <w:bidi w:val="0"/>
        <w:spacing w:before="120" w:after="0"/>
        <w:jc w:val="left"/>
        <w:rPr>
          <w:rFonts w:ascii="Times New Roman" w:hAnsi="Times New Roman"/>
          <w:sz w:val="20"/>
        </w:rPr>
      </w:pPr>
      <w:r>
        <w:rPr>
          <w:rFonts w:ascii="Times New Roman" w:hAnsi="Times New Roman"/>
          <w:sz w:val="20"/>
        </w:rPr>
        <w:t xml:space="preserve">(i) to select the individuals to whom Awards may from time to time be granted;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to determine the time or times of grant, and the extent, if any, of Non-Qualified Stock Options, Stock Appreciation Rights, Restricted Stock Awards, Restricted Stock Units, Unrestricted Stock Awards, and Dividend Equivalent Rights, or any combination of the foregoing, granted to any one or more grantees; </w:t>
      </w:r>
    </w:p>
    <w:p>
      <w:pPr>
        <w:pStyle w:val="TextBody"/>
        <w:bidi w:val="0"/>
        <w:spacing w:before="240" w:after="0"/>
        <w:jc w:val="left"/>
        <w:rPr>
          <w:rFonts w:ascii="Times New Roman" w:hAnsi="Times New Roman"/>
          <w:sz w:val="20"/>
        </w:rPr>
      </w:pPr>
      <w:r>
        <w:rPr>
          <w:rFonts w:ascii="Times New Roman" w:hAnsi="Times New Roman"/>
          <w:sz w:val="20"/>
        </w:rPr>
        <w:t xml:space="preserve">(iii) to determine the number of Shares to be covered by any Award; </w:t>
      </w:r>
    </w:p>
    <w:p>
      <w:pPr>
        <w:pStyle w:val="TextBody"/>
        <w:bidi w:val="0"/>
        <w:spacing w:before="240" w:after="0"/>
        <w:jc w:val="left"/>
        <w:rPr>
          <w:rFonts w:ascii="Times New Roman" w:hAnsi="Times New Roman"/>
          <w:sz w:val="20"/>
        </w:rPr>
      </w:pPr>
      <w:r>
        <w:rPr>
          <w:rFonts w:ascii="Times New Roman" w:hAnsi="Times New Roman"/>
          <w:sz w:val="20"/>
        </w:rPr>
        <w:t xml:space="preserve">(iv) to determine and modify from time to time the terms and conditions, including restrictions, not inconsistent with the terms of the Plan, of any Award, which terms and conditions may differ among individual Awards and grantees, and to approve the forms of Award Agreements; </w:t>
      </w:r>
    </w:p>
    <w:p>
      <w:pPr>
        <w:pStyle w:val="TextBody"/>
        <w:bidi w:val="0"/>
        <w:spacing w:before="240" w:after="0"/>
        <w:jc w:val="left"/>
        <w:rPr>
          <w:rFonts w:ascii="Times New Roman" w:hAnsi="Times New Roman"/>
          <w:sz w:val="20"/>
        </w:rPr>
      </w:pPr>
      <w:r>
        <w:rPr>
          <w:rFonts w:ascii="Times New Roman" w:hAnsi="Times New Roman"/>
          <w:sz w:val="20"/>
        </w:rPr>
        <w:t xml:space="preserve">(v) to accelerate at any time the exercisability or vesting of all or any portion of any Award; </w:t>
      </w:r>
    </w:p>
    <w:p>
      <w:pPr>
        <w:pStyle w:val="TextBody"/>
        <w:bidi w:val="0"/>
        <w:spacing w:before="240" w:after="0"/>
        <w:jc w:val="left"/>
        <w:rPr>
          <w:rFonts w:ascii="Times New Roman" w:hAnsi="Times New Roman"/>
          <w:sz w:val="20"/>
        </w:rPr>
      </w:pPr>
      <w:r>
        <w:rPr>
          <w:rFonts w:ascii="Times New Roman" w:hAnsi="Times New Roman"/>
          <w:sz w:val="20"/>
        </w:rPr>
        <w:t xml:space="preserve">(vi) subject to the provisions of Section 5(c) or 6(d), to extend at any time the period in which Stock Options or Stock Appreciation Rights, respectively, may be exercised; and </w:t>
      </w:r>
    </w:p>
    <w:p>
      <w:pPr>
        <w:pStyle w:val="TextBody"/>
        <w:bidi w:val="0"/>
        <w:spacing w:before="240" w:after="0"/>
        <w:jc w:val="left"/>
        <w:rPr>
          <w:rFonts w:ascii="Times New Roman" w:hAnsi="Times New Roman"/>
          <w:sz w:val="20"/>
        </w:rPr>
      </w:pPr>
      <w:r>
        <w:rPr>
          <w:rFonts w:ascii="Times New Roman" w:hAnsi="Times New Roman"/>
          <w:sz w:val="20"/>
        </w:rPr>
        <w:t xml:space="preserve">(vii) 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 </w:t>
      </w:r>
    </w:p>
    <w:p>
      <w:pPr>
        <w:pStyle w:val="TextBody"/>
        <w:bidi w:val="0"/>
        <w:spacing w:before="240" w:after="0"/>
        <w:jc w:val="left"/>
        <w:rPr>
          <w:rFonts w:ascii="Times New Roman" w:hAnsi="Times New Roman"/>
          <w:sz w:val="20"/>
        </w:rPr>
      </w:pPr>
      <w:r>
        <w:rPr>
          <w:rFonts w:ascii="Times New Roman" w:hAnsi="Times New Roman"/>
          <w:sz w:val="20"/>
        </w:rPr>
        <w:t xml:space="preserve">All decisions and interpretations of the Administrator shall be binding on all persons, including the Company and Plan grantees.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Award Agreement</w:t>
      </w:r>
      <w:r>
        <w:rPr>
          <w:rFonts w:ascii="Times New Roman" w:hAnsi="Times New Roman"/>
          <w:sz w:val="20"/>
        </w:rPr>
        <w:t xml:space="preserve">. Awards under the Plan shall be evidenced by Award Agreements that set forth the terms, conditions and limitations for each Award which may include, without limitation, the term of an Award and the provisions applicable in the event the Service Relationship terminates.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Indemnification</w:t>
      </w:r>
      <w:r>
        <w:rPr>
          <w:rFonts w:ascii="Times New Roman" w:hAnsi="Times New Roman"/>
          <w:sz w:val="20"/>
        </w:rPr>
        <w:t xml:space="preserve">.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memorandum and articles of association or any directors’ and officers’ liability insurance coverage which may be in effect from time to time and/or any indemnification agreement between such individual and the Company.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w:t>
      </w:r>
      <w:r>
        <w:rPr>
          <w:rFonts w:ascii="Times New Roman" w:hAnsi="Times New Roman"/>
          <w:sz w:val="20"/>
          <w:u w:val="single"/>
        </w:rPr>
        <w:t xml:space="preserve"> Non-U.S. Award Recipients</w:t>
      </w:r>
      <w:r>
        <w:rPr>
          <w:rFonts w:ascii="Times New Roman" w:hAnsi="Times New Roman"/>
          <w:sz w:val="20"/>
        </w:rPr>
        <w:t xml:space="preserve">. Notwithstanding any provision of the Plan to the contrary, in order to comply with the laws in other countries in which the Company and its Affiliates operate or have employees or other individuals eligible for Awards, the Administrator, in its sole discretion, shall have the power and authority to: (i) determine which Affiliates shall be covered by the Plan; (ii) determine which individuals outside the United States are eligible to participate in the Plan; (iii) modify the terms and conditions of any Award granted to individuals outside the United States to comply with applicable laws; (iv) establish subplans and modify exercise procedures and other terms and procedures, to the extent the Administrator determines such actions to be necessary or advisable (and such subplans and/or modifications shall be incorporated into and made part of this Plan); provided, however, that no such subplans and/or modifications shall increase the share limitations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 </w:t>
      </w:r>
    </w:p>
    <w:p>
      <w:pPr>
        <w:pStyle w:val="TextBody"/>
        <w:bidi w:val="0"/>
        <w:spacing w:before="36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SHARES ISSUABLE UNDER THE PLAN; MERGERS; SUBSTITUTION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Shares Issuable</w:t>
      </w:r>
      <w:r>
        <w:rPr>
          <w:rFonts w:ascii="Times New Roman" w:hAnsi="Times New Roman"/>
          <w:sz w:val="20"/>
        </w:rPr>
        <w:t xml:space="preserve">. The maximum number of Shares reserved and available for issuance under the Plan shall be 8,000,000, subject to adjustment as provided in this Section 3. For purposes of this limitation, the Shares underlying any Awards under the Plan that are forfeited, canceled, held back upon exercise of an Option or settlement of an Award to cover the exercise price or tax withholding, reacquired by the Company prior to vesting, satisfied without the issuance of Shares or otherwise terminated (other than by exercise) shall be added back to the Shares available for issuance under the Plan. In the event the Company repurchases Shares on the open market, such shares shall not be added to the Shares available for issuance under the Plan. Subject to such overall limitations, Shares may be issued up to such maximum number pursuant to any type or types of Award. The shares available for issuance under the Plan may be authorized but unissued Shares or Shares reacquired by the Company. Awards that may be settled solely in cash shall not be counted against the share 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Changes in Shares</w:t>
      </w:r>
      <w:r>
        <w:rPr>
          <w:rFonts w:ascii="Times New Roman" w:hAnsi="Times New Roman"/>
          <w:sz w:val="20"/>
        </w:rPr>
        <w:t xml:space="preserve">. Subject to Section 3(c) hereof, if, as a result of any reorganization, recapitalization, reclassification, share dividend, extraordinary cash dividend, share split, reverse share split or other similar change in the Company’s share capital, the outstanding Shares are increased or decreased or are exchanged for a different number or kind of shares or other securities of the Company, or additional shares or new or different shares or other securities of the Company or other non-cash assets are distributed with respect to such Shares or other securities, or, if, as a result of any merger or consolidation, sale of all or substantially all of the assets of the Company, the outstanding Shares are converted into or exchanged for securities of the Company or any successor entity (or a parent or subsidiary thereof), the Administrator shall make an appropriate or proportionate adjustment in (i) the maximum number of shares reserved for issuance under the Plan, (ii) the number and kind of shares or other securities subject to any then outstanding Awards under the Plan, (iii) the repurchase price, if any, per share subject to each outstanding Restricted Stock Award, and (iv) the exercise price for each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shall be issued under the Plan resulting from any such adjustment, but the Administrator in its discretion may make a cash payment in lieu of fractional shares.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Mergers and Other Transactions</w:t>
      </w:r>
      <w:r>
        <w:rPr>
          <w:rFonts w:ascii="Times New Roman" w:hAnsi="Times New Roman"/>
          <w:sz w:val="20"/>
        </w:rPr>
        <w:t xml:space="preserve">.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Agreement, all Awards with time-based vesting, conditions or restrictions that are not vested, exercisable and/or nonforfeitable immediately prior to the effective time of the Sale Event shall become fully vested, exercisable and/or nonforfeitable as of the effective time of the Sale Event, and all Awards with conditions and restrictions relating to the attainment of performance goals may become vested, exercisable and/or nonforfeitable in connection with a Sale Event in the Administrator’s discretion or to the extent specified in the relevant Award Agreement.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subject to outstanding Options and Stock Appreciation Rights (to the extent then exercisable at prices not in excess of the Sale Price) and (B) the aggregate exercise price of all such outstanding Options and Stock Appreciation Rights (provided that, in the case of an Option or Stock Appreciation Right with an exercise price equal to or greater than the Sale Price, such Option or Stock Appreciation Right shall be cancelled for no consideration); or (ii) each grantee shall be permitted, within a specified period of time prior to the consummation of the Sale Event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holding other Awards in an amount equal to the Sale Price multiplied by the number of vested Shares under such Awards. </w:t>
      </w:r>
    </w:p>
    <w:p>
      <w:pPr>
        <w:pStyle w:val="TextBody"/>
        <w:bidi w:val="0"/>
        <w:spacing w:before="36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ELIGIBILITY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Grantees under the Plan will be such employees of the Company and its Affiliates as to whom the Company may issue securities without shareholder approval in accordance with Rule 5635(c)(4) of the Marketplace Rules of the NASDAQ Stock Market, Inc. as selected from time to time by the Administrator in its sole discretion; provided that Awards may not be granted to employees who are providing services only to any “parent” of the Company, as such term is defined in Rule 405 of the Act, unless (i) the shares underlying the Awards is treated as “service recipient stock” under Section 409A or (ii) the Company has determined that such Awards are exempt from or otherwise comply with Section 409A.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STOCK OPTIONS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Award of Stock Options</w:t>
      </w:r>
      <w:r>
        <w:rPr>
          <w:rFonts w:ascii="Times New Roman" w:hAnsi="Times New Roman"/>
          <w:sz w:val="20"/>
        </w:rPr>
        <w:t xml:space="preserve">. The Administrator may grant Stock Options under the Plan. Any Stock Option granted under the Plan shall be a Non-Qualified Stock Option, and shall be in such form as the Administrator may from time to time approve. </w:t>
      </w:r>
    </w:p>
    <w:p>
      <w:pPr>
        <w:pStyle w:val="TextBody"/>
        <w:bidi w:val="0"/>
        <w:spacing w:before="240" w:after="0"/>
        <w:jc w:val="left"/>
        <w:rPr>
          <w:rFonts w:ascii="Times New Roman" w:hAnsi="Times New Roman"/>
          <w:sz w:val="20"/>
        </w:rPr>
      </w:pPr>
      <w:r>
        <w:rPr>
          <w:rFonts w:ascii="Times New Roman" w:hAnsi="Times New Roman"/>
          <w:sz w:val="20"/>
        </w:rPr>
        <w:t xml:space="preserve">Stock Options granted pursuant to this Section 5 shall be subject to the following terms and conditions and shall contain such additional terms and conditions, not inconsistent with the terms of the Plan, as the Administrator shall deem desirable.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Exercise Price</w:t>
      </w:r>
      <w:r>
        <w:rPr>
          <w:rFonts w:ascii="Times New Roman" w:hAnsi="Times New Roman"/>
          <w:sz w:val="20"/>
        </w:rPr>
        <w:t xml:space="preserve">. The exercise price per share for the Shares covered by a Stock Option granted pursuant to this Section 5 shall be determined by the Administrator at the time of grant but shall not be less than 100 percent of the Fair Market Value on the date of grant. Notwithstanding the foregoing, Stock Options may be granted with an exercise price per share that is less than 100 percent of the Fair Market Value on the date of grant (i) to individuals who are not subject to U.S. income tax on the date of grant, or (ii) if the Stock Option is otherwise exempt from or compliant with Section 409A.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Option Term</w:t>
      </w:r>
      <w:r>
        <w:rPr>
          <w:rFonts w:ascii="Times New Roman" w:hAnsi="Times New Roman"/>
          <w:sz w:val="20"/>
        </w:rPr>
        <w:t xml:space="preserve">. The term of each Stock Option shall be fixed by the Administrator, but no Stock Option shall be exercisable more than ten years after the date the Stock Option is granted.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Exercisability; Rights of a Shareholder</w:t>
      </w:r>
      <w:r>
        <w:rPr>
          <w:rFonts w:ascii="Times New Roman" w:hAnsi="Times New Roman"/>
          <w:sz w:val="20"/>
        </w:rPr>
        <w:t xml:space="preserve">. Stock Options shall become exercisable at such time or times, whether or not in installments, as shall be determined by the Administrator at or after the date of grant. The Administrator may at any time accelerate the exercisability of all or any portion of any Stock Option. An optionee shall have the rights of a shareholder only as to shares acquired upon the exercise of a Stock Option and not as to unexercised Stock Options.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Method of Exercise</w:t>
      </w:r>
      <w:r>
        <w:rPr>
          <w:rFonts w:ascii="Times New Roman" w:hAnsi="Times New Roman"/>
          <w:sz w:val="20"/>
        </w:rPr>
        <w:t xml:space="preserve">.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Award Agreement: </w:t>
      </w:r>
    </w:p>
    <w:p>
      <w:pPr>
        <w:pStyle w:val="TextBody"/>
        <w:bidi w:val="0"/>
        <w:spacing w:before="240" w:after="0"/>
        <w:jc w:val="left"/>
        <w:rPr>
          <w:rFonts w:ascii="Times New Roman" w:hAnsi="Times New Roman"/>
          <w:sz w:val="20"/>
        </w:rPr>
      </w:pPr>
      <w:r>
        <w:rPr>
          <w:rFonts w:ascii="Times New Roman" w:hAnsi="Times New Roman"/>
          <w:sz w:val="20"/>
        </w:rPr>
        <w:t xml:space="preserve">(i) In cash, by certified or bank check or other instrument acceptable to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(ii) Through the delivery (or attestation to the ownership following such procedures as the Company may prescribe) of Shares that are not then subject to restrictions under any Company plan. Such surrendered shares shall be valued at Fair Market Value on the exercise date;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 </w:t>
      </w:r>
    </w:p>
    <w:p>
      <w:pPr>
        <w:pStyle w:val="TextBody"/>
        <w:bidi w:val="0"/>
        <w:spacing w:before="240" w:after="0"/>
        <w:jc w:val="left"/>
        <w:rPr>
          <w:rFonts w:ascii="Times New Roman" w:hAnsi="Times New Roman"/>
          <w:sz w:val="20"/>
        </w:rPr>
      </w:pPr>
      <w:r>
        <w:rPr>
          <w:rFonts w:ascii="Times New Roman" w:hAnsi="Times New Roman"/>
          <w:sz w:val="20"/>
        </w:rPr>
        <w:t xml:space="preserve">(iv) By a “net exercise” arrangement pursuant to which the Company will reduce the number of Shares issuable upon exercise by the largest whole number of shares with a Fair Market Value that does not exceed the aggregate exercise price. </w:t>
      </w:r>
    </w:p>
    <w:p>
      <w:pPr>
        <w:pStyle w:val="TextBody"/>
        <w:bidi w:val="0"/>
        <w:spacing w:before="240" w:after="0"/>
        <w:jc w:val="left"/>
        <w:rPr>
          <w:rFonts w:ascii="Times New Roman" w:hAnsi="Times New Roman"/>
          <w:sz w:val="20"/>
        </w:rPr>
      </w:pPr>
      <w:r>
        <w:rPr>
          <w:rFonts w:ascii="Times New Roman" w:hAnsi="Times New Roman"/>
          <w:sz w:val="20"/>
        </w:rPr>
        <w:t xml:space="preserve">Payment instruments will be received subject to collection. The transfer to the optionee on the records of the Company or of the transfer agent of the Shares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Award Agreement or applicable provisions of laws (including the satisfaction of any taxes that the Company or an Affiliate is obligated to withhold with respect to the optionee). In the event an optionee chooses to pay the purchase price by previously-owned Shares through the attestation method, the number of Shares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 </w:t>
      </w:r>
    </w:p>
    <w:p>
      <w:pPr>
        <w:pStyle w:val="TextBody"/>
        <w:bidi w:val="0"/>
        <w:spacing w:before="36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STOCK APPRECIATION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Award of Stock Appreciation Rights</w:t>
      </w:r>
      <w:r>
        <w:rPr>
          <w:rFonts w:ascii="Times New Roman" w:hAnsi="Times New Roman"/>
          <w:sz w:val="20"/>
        </w:rPr>
        <w:t xml:space="preserve">. The Administrator may grant Stock Appreciation Rights under the Plan. A Stock Appreciation Right is an Award entitling the recipient to receive Shares (or cash, to the extent explicitly provided for in the applicable Award Agreement) having a value equal to the excess of the Fair Market Value of a Share on the date of exercise over the exercise price of the Stock Appreciation Right multiplied by the number of Shares with respect to which the Stock Appreciation Right shall have been exercised.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Exercise Price of Stock Appreciation Rights.</w:t>
      </w:r>
      <w:r>
        <w:rPr>
          <w:rFonts w:ascii="Times New Roman" w:hAnsi="Times New Roman"/>
          <w:sz w:val="20"/>
        </w:rPr>
        <w:t xml:space="preserve"> The exercise price of a Stock Appreciation Right shall not be less than 100 percent of the Fair Market Value of the Shares on the date of grant. Notwithstanding the foregoing, Stock Appreciation Rights may be granted with an exercise price per share that is less than 100 percent of the Fair Market Value on the date of grant (i) to individuals who are not subject to U.S. income tax on the date of grant, or (ii) if the Stock Appreciation Right is otherwise exempt from or compliant with Section 409A.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Grant and Exercise of Stock Appreciation Rights</w:t>
      </w:r>
      <w:r>
        <w:rPr>
          <w:rFonts w:ascii="Times New Roman" w:hAnsi="Times New Roman"/>
          <w:sz w:val="20"/>
        </w:rPr>
        <w:t xml:space="preserve">. Stock Appreciation Rights may be granted by the Administrator independently of any Stock Option granted pursuant to Section 5 of the Plan.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Terms and Conditions of Stock Appreciation Rights</w:t>
      </w:r>
      <w:r>
        <w:rPr>
          <w:rFonts w:ascii="Times New Roman" w:hAnsi="Times New Roman"/>
          <w:sz w:val="20"/>
        </w:rPr>
        <w:t xml:space="preserve">. Stock Appreciation Rights shall be subject to such terms and conditions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 </w:t>
      </w:r>
    </w:p>
    <w:p>
      <w:pPr>
        <w:pStyle w:val="TextBody"/>
        <w:bidi w:val="0"/>
        <w:spacing w:before="36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RESTRICTED STOCK AWARDS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Nature of Restricted Stock Awards</w:t>
      </w:r>
      <w:r>
        <w:rPr>
          <w:rFonts w:ascii="Times New Roman" w:hAnsi="Times New Roman"/>
          <w:sz w:val="20"/>
        </w:rPr>
        <w:t xml:space="preserve">. 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Rights as a Shareholder</w:t>
      </w:r>
      <w:r>
        <w:rPr>
          <w:rFonts w:ascii="Times New Roman" w:hAnsi="Times New Roman"/>
          <w:sz w:val="20"/>
        </w:rPr>
        <w:t xml:space="preserve">. Upon the grant of the Restricted Stock Award and payment of any applicable purchase price, a grantee shall have the rights of a shareholder with respect to the voting of the Restricted Shares and receipt of dividends; provided that if the lapse of restrictions with respect to the Restricted Stock Award is tied to the attainment of vesting conditions, any dividends paid by the Company shall accrue and shall not be paid to the grantee until and to the extent the vesting conditions are met with respect to the Restricted Stock Award. Unless the Administrator shall otherwise determine, (i) 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Restrictions</w:t>
      </w:r>
      <w:r>
        <w:rPr>
          <w:rFonts w:ascii="Times New Roman" w:hAnsi="Times New Roman"/>
          <w:sz w:val="20"/>
        </w:rPr>
        <w:t xml:space="preserve">. Restricted Shares may not be sold, assigned, transferred, pledged or otherwise encumbered or disposed of except as specifically provided herein or in the Restricted Stock Award Agreement. Except as may otherwise be provided by the Administrator either in the Award Agreement or, subject to Section 16 below, in writing after the Award is issued, if a grantee’s employment (or other Service Relationship) with the Company and its Affiliates terminates for any reason, any Restricted Shares that have not vested at the time of termination shall automatically and without any requirement of notice to such grantee from or other action by or on behalf of, the Company be deemed to have been reacquired by the Company at its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shareholder. Following such deemed reacquisition of Restricted Shares that are represented by physical certificates, a grantee shall surrender such certificates to the Company upon request without consideration.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Vesting of Restricted Shares</w:t>
      </w:r>
      <w:r>
        <w:rPr>
          <w:rFonts w:ascii="Times New Roman" w:hAnsi="Times New Roman"/>
          <w:sz w:val="20"/>
        </w:rPr>
        <w:t xml:space="preserve">.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RESTRICTED STOCK UNITS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Nature of Restricted Stock Units</w:t>
      </w:r>
      <w:r>
        <w:rPr>
          <w:rFonts w:ascii="Times New Roman" w:hAnsi="Times New Roman"/>
          <w:sz w:val="20"/>
        </w:rPr>
        <w:t xml:space="preserve">. The Administrator may grant Restricted Stock Units under the Plan. A Restricted Stock Unit is an Award of stock units that may be settled in Shares (or cash, to the extent explicitly provided for in the Award Agreement) upon the satisfaction of such restrictions and conditions at the time of grant. Conditions may be based on continuing employment (or other Service Relationship) and/or achievement of pre-established performance goals and objectives. The terms and conditions of each such Award shall be determined by the Administrator, and such terms and conditions may differ among individual Awards and grantees. Restricted Stock Units with deferred settlement dates are subject to Section 409A and shall contain such additional terms and conditions as the Administrator shall determine in its sole discretion in order to comply with the requirements of Section 409A.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Rights as a Shareholder</w:t>
      </w:r>
      <w:r>
        <w:rPr>
          <w:rFonts w:ascii="Times New Roman" w:hAnsi="Times New Roman"/>
          <w:sz w:val="20"/>
        </w:rPr>
        <w:t xml:space="preserve">. A grantee shall have the rights as a shareholder only as to Shares acquired by the grantee upon settlement of Restricted Stock Units; provided, however, that the grantee may be credited with Dividend Equivalent Rights with respect to the stock units underlying his or her Restricted Stock Units, subject to the provisions of Section 11 and such terms and conditions as the Administrator may determine.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Termination</w:t>
      </w:r>
      <w:r>
        <w:rPr>
          <w:rFonts w:ascii="Times New Roman" w:hAnsi="Times New Roman"/>
          <w:sz w:val="20"/>
        </w:rPr>
        <w:t xml:space="preserve">. Except as may otherwise be provided by the Administrator either in the Award Agreement or, subject to Section 16 below, in writing after the Award is issued, a grantee’s right in all Restricted Stock Units that have not vested shall automatically terminate upon the grantee’s termination of employment (or cessation of Service Relationship) with the Company and its Affiliates for any reason. </w:t>
      </w:r>
    </w:p>
    <w:p>
      <w:pPr>
        <w:pStyle w:val="TextBody"/>
        <w:bidi w:val="0"/>
        <w:spacing w:before="36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UNRESTRICTED STOCK AWARDS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u w:val="single"/>
        </w:rPr>
        <w:t>Grant or Sale of Unrestricted Stock</w:t>
      </w:r>
      <w:r>
        <w:rPr>
          <w:rFonts w:ascii="Times New Roman" w:hAnsi="Times New Roman"/>
          <w:sz w:val="20"/>
        </w:rPr>
        <w:t xml:space="preserve">. The Administrator may grant (or sell at par value or such higher purchase price determined by the Administrator) an Unrestricted Stock Award under the Plan. An Unrestricted Stock Award is an Award pursuant to which the grantee may receive Shares free of any restrictions under the Plan. Unrestricted Stock Awards may be granted in respect of past services or other valid consideration, or in lieu of cash compensation due to such grantee. </w:t>
      </w:r>
    </w:p>
    <w:p>
      <w:pPr>
        <w:pStyle w:val="TextBody"/>
        <w:bidi w:val="0"/>
        <w:spacing w:before="36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RESERVED</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DIVIDEND EQUIVALENT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Dividend Equivalent Rights</w:t>
      </w:r>
      <w:r>
        <w:rPr>
          <w:rFonts w:ascii="Times New Roman" w:hAnsi="Times New Roman"/>
          <w:sz w:val="20"/>
        </w:rPr>
        <w:t xml:space="preserve">. The Administrator may grant Dividend Equivalent Rights under the Plan. A Dividend Equivalent Right is an Award entitling the grantee to receive credits based on cash dividends that would have been paid on the Shares specified in the Dividend Equivalent Right (or other Award to which it relates) if such shares had been issued to the grantee. A Dividend Equivalent Right may be granted hereunder to any grantee as a component of an award of Restricted Stock Units or as a freestanding award. The terms and conditions of Dividend Equivalent Rights shall be specified in the Award Agreement. Dividend equivalents credited to the holder of a Dividend Equivalent Right may be paid currently or may be deemed to be reinvested in additional Shares,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or a combination thereof, in a single installment or installments. A Dividend Equivalent Right granted as a component of an Award of Restricted Stock Units shall provide that such Dividend Equivalent Right shall be settled only upon settlement or payment of, or lapse of restrictions on, such other Award, and that such Dividend Equivalent Right shall expire or be forfeited or annulled under the same conditions as such other Award.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Termination</w:t>
      </w:r>
      <w:r>
        <w:rPr>
          <w:rFonts w:ascii="Times New Roman" w:hAnsi="Times New Roman"/>
          <w:sz w:val="20"/>
        </w:rPr>
        <w:t xml:space="preserve">. Except as may otherwise be provided by the Administrator either in the Award Agreement or, subject to Section 16 below, in writing after the Award is issued, a grantee’s rights in all Dividend Equivalent Rights shall automatically terminate upon the grantee’s termination of employment (or cessation of Service Relationship) with the Company and its Affiliates for any reason. </w:t>
      </w:r>
    </w:p>
    <w:p>
      <w:pPr>
        <w:pStyle w:val="TextBody"/>
        <w:bidi w:val="0"/>
        <w:spacing w:before="36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TRANSFERABILITY OF AWARDS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Transferability</w:t>
      </w:r>
      <w:r>
        <w:rPr>
          <w:rFonts w:ascii="Times New Roman" w:hAnsi="Times New Roman"/>
          <w:sz w:val="20"/>
        </w:rPr>
        <w:t xml:space="preserve">. Except as provided in Section 12(b)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Administrator Action</w:t>
      </w:r>
      <w:r>
        <w:rPr>
          <w:rFonts w:ascii="Times New Roman" w:hAnsi="Times New Roman"/>
          <w:sz w:val="20"/>
        </w:rPr>
        <w:t xml:space="preserve">. Notwithstanding Section 12(a), the Administrator, in its discretion, may provide either in the Award Agreement regarding a given Award or by subsequent written approval that the grantee may transfer his or her Non-Qualified Stock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Agreement. In no event may an Award be transferred by a grantee for value.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Family Member</w:t>
      </w:r>
      <w:r>
        <w:rPr>
          <w:rFonts w:ascii="Times New Roman" w:hAnsi="Times New Roman"/>
          <w:sz w:val="20"/>
        </w:rPr>
        <w:t xml:space="preserve">. For purposes of Section 12(b),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Designation of Beneficiary</w:t>
      </w:r>
      <w:r>
        <w:rPr>
          <w:rFonts w:ascii="Times New Roman" w:hAnsi="Times New Roman"/>
          <w:sz w:val="20"/>
        </w:rPr>
        <w:t xml:space="preserve">. To the extent permitted by the Company and valid under applicable law,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 or legal heirs. </w:t>
      </w:r>
    </w:p>
    <w:p>
      <w:pPr>
        <w:pStyle w:val="TextBody"/>
        <w:bidi w:val="0"/>
        <w:spacing w:before="36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TAX WITHHOLDING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Payment by Grantee</w:t>
      </w:r>
      <w:r>
        <w:rPr>
          <w:rFonts w:ascii="Times New Roman" w:hAnsi="Times New Roman"/>
          <w:sz w:val="20"/>
        </w:rPr>
        <w:t xml:space="preserve">. Each grantee shall, no later than the date as of which the value of an Award or of any Shares or other amounts received thereunder first becomes includable in the gross income of the grantee for tax purposes, pay to the Company or any applicable Affiliate, or make arrangements satisfactory to the Administrator regarding payment of, any U.S. and non-U.S. federal, state, or local taxes of any kind required by law to be withheld by the Company or any applicable Affiliate with respect to such income. The Company and its Affiliates shall, to the extent permitted by law, have the right to deduct any such taxes from any payment of any kind otherwise due to the grantee or to satisfy any applicable withholding obligations by any other method of withholding that the Company and its Affiliates deem appropriate. The Company’s obligation to deliver evidence of book entry (or share certificates) to any grantee is subject to and conditioned on tax withholding obligations being satisfied by the grantee.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Payment in Shares</w:t>
      </w:r>
      <w:r>
        <w:rPr>
          <w:rFonts w:ascii="Times New Roman" w:hAnsi="Times New Roman"/>
          <w:sz w:val="20"/>
        </w:rPr>
        <w:t xml:space="preserve">. The Administrator may cause any tax withholding obligation of the Company or any applicable Affiliate to be satisfied, in whole or in part, by the Company withholding from Shares to be issued pursuant to any Award a number of shares with an aggregate Fair Market Value (as of the date the withholding is effected) that would satisfy the withholding amount due; provided, however, that the amount withheld does not exceed the maximum statutory rate or such lesser amount as is necessary to avoid liability accounting treatment. For purposes of share withholding, the Fair Market Value of withheld shares shall be determined in the same manner as the value of Shares includible in income of the grantees. The Administrator may also require any tax withholding obligation of the Company or any applicable Affiliate to be satisfied, in whole or in part, by an arrangement whereby a certain number of Shares issued pursuant to any Award are immediately sold and proceeds from such sale are remitted to the Company or any applicable Affiliate in an amount that would satisfy the withholding amount due. </w:t>
      </w:r>
    </w:p>
    <w:p>
      <w:pPr>
        <w:pStyle w:val="TextBody"/>
        <w:bidi w:val="0"/>
        <w:spacing w:before="36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SECTION 409A AWARDS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“409A Award”), the Award shall be subject to such additional rules and requirements as specified by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 The Company makes no representation that any or all of the payments or benefits described in the Plan will be exempt from or comply with Section 409A of the Code and makes no undertaking to preclude Section 409A of the Code from applying to any such payment. The grantee shall be solely responsible for the payment of any taxes and penalties incurred under Section 409A. </w:t>
      </w:r>
    </w:p>
    <w:p>
      <w:pPr>
        <w:pStyle w:val="TextBody"/>
        <w:bidi w:val="0"/>
        <w:spacing w:before="24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TERMINATION OF SERVICE RELATIONSHIP, TRANSFER, LEAVE OF ABSENCE,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Termination of Service Relationship</w:t>
      </w:r>
      <w:r>
        <w:rPr>
          <w:rFonts w:ascii="Times New Roman" w:hAnsi="Times New Roman"/>
          <w:sz w:val="20"/>
        </w:rPr>
        <w:t xml:space="preserve">. If the grantee’s Service Relationship is with an Affiliate and such Affiliate ceases to be an Affiliate, the grantee shall be deemed to have terminated his or her Service Relationship for purposes of the Plan. </w:t>
      </w:r>
    </w:p>
    <w:p>
      <w:pPr>
        <w:pStyle w:val="TextBody"/>
        <w:bidi w:val="0"/>
        <w:spacing w:before="240" w:after="0"/>
        <w:jc w:val="left"/>
        <w:rPr>
          <w:rFonts w:ascii="Times New Roman" w:hAnsi="Times New Roman"/>
          <w:sz w:val="20"/>
        </w:rPr>
      </w:pPr>
      <w:r>
        <w:rPr>
          <w:rFonts w:ascii="Times New Roman" w:hAnsi="Times New Roman"/>
          <w:sz w:val="20"/>
        </w:rPr>
        <w:t xml:space="preserve">(b) For purposes of the Plan, the following events shall not be deemed a termination of a Service Relationship: </w:t>
      </w:r>
    </w:p>
    <w:p>
      <w:pPr>
        <w:pStyle w:val="TextBody"/>
        <w:bidi w:val="0"/>
        <w:spacing w:before="240" w:after="0"/>
        <w:jc w:val="left"/>
        <w:rPr>
          <w:rFonts w:ascii="Times New Roman" w:hAnsi="Times New Roman"/>
          <w:sz w:val="20"/>
        </w:rPr>
      </w:pPr>
      <w:r>
        <w:rPr>
          <w:rFonts w:ascii="Times New Roman" w:hAnsi="Times New Roman"/>
          <w:sz w:val="20"/>
        </w:rPr>
        <w:t xml:space="preserve">(i) a transfer to the Service Relationship of the Company from an Affiliate or from the Company to an Affiliate, or from one Affiliate to another; or </w:t>
      </w:r>
    </w:p>
    <w:p>
      <w:pPr>
        <w:pStyle w:val="TextBody"/>
        <w:bidi w:val="0"/>
        <w:spacing w:before="240" w:after="0"/>
        <w:jc w:val="left"/>
        <w:rPr>
          <w:rFonts w:ascii="Times New Roman" w:hAnsi="Times New Roman"/>
          <w:sz w:val="20"/>
        </w:rPr>
      </w:pPr>
      <w:r>
        <w:rPr>
          <w:rFonts w:ascii="Times New Roman" w:hAnsi="Times New Roman"/>
          <w:sz w:val="20"/>
        </w:rPr>
        <w:t xml:space="preserve">(ii) an approved leave of absence, if the employee’s right to re-employment is guaranteed either by a statute or by contract or under the policy pursuant to which the leave of absence was granted or if the Administrator otherwise so provides in writing. </w:t>
      </w:r>
    </w:p>
    <w:p>
      <w:pPr>
        <w:pStyle w:val="TextBody"/>
        <w:bidi w:val="0"/>
        <w:spacing w:before="360" w:after="0"/>
        <w:jc w:val="left"/>
        <w:rPr>
          <w:rFonts w:ascii="Times New Roman" w:hAnsi="Times New Roman"/>
          <w:sz w:val="20"/>
        </w:rPr>
      </w:pPr>
      <w:r>
        <w:rPr>
          <w:rFonts w:ascii="Times New Roman" w:hAnsi="Times New Roman"/>
          <w:sz w:val="20"/>
        </w:rPr>
        <w:t xml:space="preserve">SECTION 16. </w:t>
      </w:r>
      <w:r>
        <w:rPr>
          <w:rFonts w:ascii="Times New Roman" w:hAnsi="Times New Roman"/>
          <w:sz w:val="20"/>
          <w:u w:val="single"/>
        </w:rPr>
        <w:t>AMENDMENTS AND TERMINATION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Except as provided in Section 3(b) or 3(c), without prior shareholder approval, in no event may the Administrator exercise its discretion to reduce the exercise price of outstanding Stock Options or Stock Appreciation Rights, effect the repricing of such Awards through cancellation and re-grants or cancel such Awards in exchange for cash or other Awards. Nothing in this Section 16 shall limit the Administrator’s authority to take any action permitted pursuant to Section 3(b) or 3(c).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17. </w:t>
      </w:r>
      <w:r>
        <w:rPr>
          <w:rFonts w:ascii="Times New Roman" w:hAnsi="Times New Roman"/>
          <w:sz w:val="20"/>
          <w:u w:val="single"/>
        </w:rPr>
        <w:t>STATUS OF PLAN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the portion of any Award that has not been exercised and any payments in cash, Shares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Shares or make payments with respect to Awards hereunder, provided that the existence of such trusts or other arrangements is consistent with the foregoing sentence. </w:t>
      </w:r>
    </w:p>
    <w:p>
      <w:pPr>
        <w:pStyle w:val="TextBody"/>
        <w:bidi w:val="0"/>
        <w:spacing w:before="360" w:after="0"/>
        <w:jc w:val="left"/>
        <w:rPr>
          <w:rFonts w:ascii="Times New Roman" w:hAnsi="Times New Roman"/>
          <w:sz w:val="20"/>
        </w:rPr>
      </w:pPr>
      <w:r>
        <w:rPr>
          <w:rFonts w:ascii="Times New Roman" w:hAnsi="Times New Roman"/>
          <w:sz w:val="20"/>
        </w:rPr>
        <w:t xml:space="preserve">SECTION 18. </w:t>
      </w:r>
      <w:r>
        <w:rPr>
          <w:rFonts w:ascii="Times New Roman" w:hAnsi="Times New Roman"/>
          <w:sz w:val="20"/>
          <w:u w:val="single"/>
        </w:rPr>
        <w:t>GENERAL PROVISIONS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Distribution</w:t>
      </w:r>
      <w:r>
        <w:rPr>
          <w:rFonts w:ascii="Times New Roman" w:hAnsi="Times New Roman"/>
          <w:sz w:val="20"/>
        </w:rPr>
        <w:t xml:space="preserve">. The Administrator may require each person acquiring Shares pursuant to an Award to represent to and agree with the Company in writing that such person is acquiring the shares without a view to distribution thereof.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Issuance of Shares</w:t>
      </w:r>
      <w:r>
        <w:rPr>
          <w:rFonts w:ascii="Times New Roman" w:hAnsi="Times New Roman"/>
          <w:sz w:val="20"/>
        </w:rPr>
        <w:t xml:space="preserve">. To the extent certificated, share certificates to grantees under this Plan shall be deemed delivered for all purposes when the Company or a share transfer agent of the Company shall have mailed such certificates in the United States mail, addressed to the grantee, at the grantee’s last known address on file with the Company. Uncertificated Shares shall be deemed delivered for all purposes when the Company or a Shares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are listed, quoted or traded. Any Shares issued pursuant to the Plan shall be subject to any stop-transfer orders and other restrictions as the Administrator deems necessary or advisable to comply with federal, state or foreign jurisdiction, securities or other laws, rules and quotation system on which the Shares are listed, quoted or traded. The Administrator may place legends on any Shares certificate or notations on any book entry to reference restrictions applicable to the Shares.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Shareholder Rights</w:t>
      </w:r>
      <w:r>
        <w:rPr>
          <w:rFonts w:ascii="Times New Roman" w:hAnsi="Times New Roman"/>
          <w:sz w:val="20"/>
        </w:rPr>
        <w:t xml:space="preserve">. Until Shares are deemed delivered in accordance with Section 18(b), no right to vote or receive dividends or any other rights of a shareholder will exist with respect to Shares to be issued in connection with an Award, notwithstanding the exercise of a Stock Option or any other action by the grantee with respect to an Award.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Other Incentive Arrangements; No Rights to Continued Service Relationship</w:t>
      </w:r>
      <w:r>
        <w:rPr>
          <w:rFonts w:ascii="Times New Roman" w:hAnsi="Times New Roman"/>
          <w:sz w:val="20"/>
        </w:rPr>
        <w:t xml:space="preserve">. Nothing contained in this Plan shall prevent the Board from adopting other or additional incentive arrangements, including trusts, and such arrangements may be either generally applicable or applicable only in specific cases. The adoption of this Plan and the grant of Awards do not confer upon any grantee any right to continued employment or other Service Relationship with the Company or any Affiliate.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Trading Policy Restrictions</w:t>
      </w:r>
      <w:r>
        <w:rPr>
          <w:rFonts w:ascii="Times New Roman" w:hAnsi="Times New Roman"/>
          <w:sz w:val="20"/>
        </w:rPr>
        <w:t xml:space="preserve">. Option exercises and other Awards under the Plan shall be subject to the Company’s insider trading policies and procedures, as in effect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Clawback Policy</w:t>
      </w:r>
      <w:r>
        <w:rPr>
          <w:rFonts w:ascii="Times New Roman" w:hAnsi="Times New Roman"/>
          <w:sz w:val="20"/>
        </w:rPr>
        <w:t xml:space="preserve">. Awards under the Plan shall be subject to the Company’s clawback policy, as in effect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Fractional Shares</w:t>
      </w:r>
      <w:r>
        <w:rPr>
          <w:rFonts w:ascii="Times New Roman" w:hAnsi="Times New Roman"/>
          <w:sz w:val="20"/>
        </w:rPr>
        <w:t xml:space="preserve">. No fractional Shares shall be issued or delivered pursuant to the Plan or any Award, and the Administrator shall determine whether cash, other securities or other property shall be paid or transferred in lieu of any fractional Shares, or whether such fractional Shares or any rights thereto shall be canceled, terminated or otherwise eliminated. </w:t>
      </w:r>
    </w:p>
    <w:p>
      <w:pPr>
        <w:pStyle w:val="TextBody"/>
        <w:bidi w:val="0"/>
        <w:spacing w:before="360" w:after="0"/>
        <w:jc w:val="left"/>
        <w:rPr>
          <w:rFonts w:ascii="Times New Roman" w:hAnsi="Times New Roman"/>
          <w:sz w:val="20"/>
        </w:rPr>
      </w:pPr>
      <w:r>
        <w:rPr>
          <w:rFonts w:ascii="Times New Roman" w:hAnsi="Times New Roman"/>
          <w:sz w:val="20"/>
        </w:rPr>
        <w:t xml:space="preserve">SECTION 19. </w:t>
      </w:r>
      <w:r>
        <w:rPr>
          <w:rFonts w:ascii="Times New Roman" w:hAnsi="Times New Roman"/>
          <w:sz w:val="20"/>
          <w:u w:val="single"/>
        </w:rPr>
        <w:t>EFFECTIVE DATE OF PLAN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Plan initially became effective on November 17, 2022, and was amended by the First Amendment to the Plan effective on December 13, 2025. This restated Plan incorporates the First Amendment to the Plan. </w:t>
      </w:r>
    </w:p>
    <w:p>
      <w:pPr>
        <w:pStyle w:val="TextBody"/>
        <w:bidi w:val="0"/>
        <w:spacing w:before="360" w:after="0"/>
        <w:jc w:val="left"/>
        <w:rPr>
          <w:rFonts w:ascii="Times New Roman" w:hAnsi="Times New Roman"/>
          <w:sz w:val="20"/>
        </w:rPr>
      </w:pPr>
      <w:r>
        <w:rPr>
          <w:rFonts w:ascii="Times New Roman" w:hAnsi="Times New Roman"/>
          <w:sz w:val="20"/>
        </w:rPr>
        <w:t xml:space="preserve">SECTION 20. </w:t>
      </w:r>
      <w:r>
        <w:rPr>
          <w:rFonts w:ascii="Times New Roman" w:hAnsi="Times New Roman"/>
          <w:sz w:val="20"/>
          <w:u w:val="single"/>
        </w:rPr>
        <w:t>GOVERNING LAW</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Plan and all Awards and actions taken thereunder shall be governed by, and construed in accordance with, the laws of the Cayman Islands without regard to conflict of law principles. </w:t>
      </w:r>
    </w:p>
    <w:p>
      <w:pPr>
        <w:pStyle w:val="TextBody"/>
        <w:bidi w:val="0"/>
        <w:spacing w:before="36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UNFUNDED PLAN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Plan shall be unfunded. Although bookkeeping accounts may be established with respect to participants who are granted Awards under this Plan, any such accounts will be used merely as a bookkeeping convenience. The Company shall not be required to segregate any assets which may at any time be represented by Awards, nor shall this Plan be construed as providing for such segregation, nor shall the Company or the Administrator be deemed to be a trustee of shares or cash to be awarded under the Plan. </w:t>
      </w:r>
    </w:p>
    <w:p>
      <w:pPr>
        <w:pStyle w:val="TextBody"/>
        <w:bidi w:val="0"/>
        <w:spacing w:before="0" w:after="0"/>
        <w:jc w:val="right"/>
        <w:rPr>
          <w:rFonts w:ascii="Times New Roman" w:hAnsi="Times New Roman"/>
          <w:b/>
          <w:sz w:val="20"/>
        </w:rPr>
      </w:pPr>
      <w:bookmarkStart w:id="11" w:name="d135820dex46.htm"/>
      <w:bookmarkStart w:id="12" w:name="ksd135820dex46"/>
      <w:bookmarkEnd w:id="11"/>
      <w:bookmarkEnd w:id="12"/>
      <w:r>
        <w:rPr>
          <w:rFonts w:ascii="Times New Roman" w:hAnsi="Times New Roman"/>
          <w:b/>
          <w:sz w:val="20"/>
        </w:rPr>
        <w:t xml:space="preserve">Exhibit 4.6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DAMORA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2020 STOCK OPTION AND GRANT PLAN </w:t>
      </w:r>
    </w:p>
    <w:p>
      <w:pPr>
        <w:pStyle w:val="TextBody"/>
        <w:bidi w:val="0"/>
        <w:spacing w:before="36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GENERAL PURPOSE OF THE PLAN; DEFINITIONS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name of the plan is the Damora Therapeutics, Inc. 2020 Stock Option and Grant Plan (the “Plan”). The purpose of the Plan is to encourage and enable the officers, employees, directors, Consultants and other key persons of Damora Therapeutics, Inc., a Cayman Islands exempted company (including any successor entity, the “Company”) and its Subsidiaries, upon whose judgment, initiative and efforts the Company largely depends for the successful conduct of its business, to provide eligible persons to acquire a proprietary interest in the Company as an incentive to remain in the service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Plan has been amended and restated to reflect the Company’s name change and a change in the Company’s jurisdiction of incorporation from the State of Delaware to the Cayman Islands, but no further awards may be issued under the Plan as of October 20, 2020.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terms shall be defined as set forth below: </w:t>
      </w:r>
    </w:p>
    <w:p>
      <w:pPr>
        <w:pStyle w:val="TextBody"/>
        <w:bidi w:val="0"/>
        <w:spacing w:before="240" w:after="0"/>
        <w:jc w:val="left"/>
        <w:rPr/>
      </w:pPr>
      <w:r>
        <w:rPr/>
        <w:t>“</w:t>
      </w:r>
      <w:r>
        <w:rPr>
          <w:rFonts w:ascii="Times New Roman" w:hAnsi="Times New Roman"/>
          <w:i/>
          <w:sz w:val="20"/>
        </w:rPr>
        <w:t>Affiliate</w:t>
      </w:r>
      <w:r>
        <w:rPr>
          <w:rFonts w:ascii="Times New Roman" w:hAnsi="Times New Roman"/>
          <w:sz w:val="20"/>
        </w:rPr>
        <w:t xml:space="preserve">” of any Person means a Person that directly or indirectly, through one or more intermediaries, controls, is controlled by or is under common control with the first mentioned Person. A Person shall be deemed to control another Person if such first Person possesses directly or indirectly the power to direct, or cause the direction of, the management and policies of the second Person, whether through the ownership of voting securities, by contract or otherwise. </w:t>
      </w:r>
    </w:p>
    <w:p>
      <w:pPr>
        <w:pStyle w:val="TextBody"/>
        <w:bidi w:val="0"/>
        <w:spacing w:before="240" w:after="0"/>
        <w:jc w:val="left"/>
        <w:rPr/>
      </w:pPr>
      <w:r>
        <w:rPr/>
        <w:t>“</w:t>
      </w:r>
      <w:r>
        <w:rPr>
          <w:rFonts w:ascii="Times New Roman" w:hAnsi="Times New Roman"/>
          <w:i/>
          <w:sz w:val="20"/>
        </w:rPr>
        <w:t>Award</w:t>
      </w:r>
      <w:r>
        <w:rPr>
          <w:rFonts w:ascii="Times New Roman" w:hAnsi="Times New Roman"/>
          <w:sz w:val="20"/>
        </w:rPr>
        <w:t>” or “</w:t>
      </w:r>
      <w:r>
        <w:rPr>
          <w:rFonts w:ascii="Times New Roman" w:hAnsi="Times New Roman"/>
          <w:i/>
          <w:sz w:val="20"/>
        </w:rPr>
        <w:t>Awards,</w:t>
      </w:r>
      <w:r>
        <w:rPr>
          <w:rFonts w:ascii="Times New Roman" w:hAnsi="Times New Roman"/>
          <w:sz w:val="20"/>
        </w:rPr>
        <w:t xml:space="preserve">” except where referring to a particular category of grant under the Plan, shall include Incentive Stock Options, Non-Qualified Stock Options, Restricted Stock Awards, Unrestricted Stock Awards, Restricted Stock Units or any combination of the foregoing. </w:t>
      </w:r>
    </w:p>
    <w:p>
      <w:pPr>
        <w:pStyle w:val="TextBody"/>
        <w:bidi w:val="0"/>
        <w:spacing w:before="240" w:after="0"/>
        <w:jc w:val="left"/>
        <w:rPr/>
      </w:pPr>
      <w:r>
        <w:rPr/>
        <w:t>“</w:t>
      </w:r>
      <w:r>
        <w:rPr>
          <w:rFonts w:ascii="Times New Roman" w:hAnsi="Times New Roman"/>
          <w:i/>
          <w:sz w:val="20"/>
        </w:rPr>
        <w:t>Award Agreement”</w:t>
      </w:r>
      <w:r>
        <w:rPr>
          <w:rFonts w:ascii="Times New Roman" w:hAnsi="Times New Roman"/>
          <w:sz w:val="20"/>
        </w:rPr>
        <w:t xml:space="preserve"> means a written or electronic agreement setting forth the terms and provisions applicable to an Award granted under the Plan. Each Award Agreement may contain terms and conditions in addition to those set forth in the Plan; </w:t>
      </w:r>
      <w:r>
        <w:rPr>
          <w:rFonts w:ascii="Times New Roman" w:hAnsi="Times New Roman"/>
          <w:i/>
          <w:sz w:val="20"/>
        </w:rPr>
        <w:t xml:space="preserve">provided, however, </w:t>
      </w:r>
      <w:r>
        <w:rPr>
          <w:rFonts w:ascii="Times New Roman" w:hAnsi="Times New Roman"/>
          <w:sz w:val="20"/>
        </w:rPr>
        <w:t>in the event of any conflict in the terms of the Plan and the Award Agreement, the terms of the Plan shall govern</w:t>
      </w:r>
      <w:r>
        <w:rPr>
          <w:rFonts w:ascii="Times New Roman" w:hAnsi="Times New Roman"/>
          <w:b/>
          <w:sz w:val="20"/>
        </w:rPr>
        <w:t xml:space="preserve">. </w:t>
      </w:r>
    </w:p>
    <w:p>
      <w:pPr>
        <w:pStyle w:val="TextBody"/>
        <w:bidi w:val="0"/>
        <w:spacing w:before="240" w:after="0"/>
        <w:jc w:val="left"/>
        <w:rPr/>
      </w:pPr>
      <w:r>
        <w:rPr/>
        <w:t>“</w:t>
      </w:r>
      <w:r>
        <w:rPr>
          <w:rFonts w:ascii="Times New Roman" w:hAnsi="Times New Roman"/>
          <w:i/>
          <w:sz w:val="20"/>
        </w:rPr>
        <w:t>Board</w:t>
      </w:r>
      <w:r>
        <w:rPr>
          <w:rFonts w:ascii="Times New Roman" w:hAnsi="Times New Roman"/>
          <w:sz w:val="20"/>
        </w:rPr>
        <w:t xml:space="preserve">” means the Board of Directors of the Company. </w:t>
      </w:r>
    </w:p>
    <w:p>
      <w:pPr>
        <w:pStyle w:val="TextBody"/>
        <w:bidi w:val="0"/>
        <w:spacing w:before="240" w:after="0"/>
        <w:jc w:val="left"/>
        <w:rPr/>
      </w:pPr>
      <w:r>
        <w:rPr/>
        <w:t>“</w:t>
      </w:r>
      <w:r>
        <w:rPr>
          <w:rFonts w:ascii="Times New Roman" w:hAnsi="Times New Roman"/>
          <w:i/>
          <w:sz w:val="20"/>
        </w:rPr>
        <w:t>Cause</w:t>
      </w:r>
      <w:r>
        <w:rPr>
          <w:rFonts w:ascii="Times New Roman" w:hAnsi="Times New Roman"/>
          <w:sz w:val="20"/>
        </w:rPr>
        <w:t xml:space="preserve">” shall have the meaning as set forth in the Award Agreement(s). In the case that any Award Agreement does not contain a definition of “Cause,” it shall mean (i) the grantee’s dishonest statements or acts with respect to the Company or any Affiliate of the Company, or any current or prospective customers, suppliers vendors or other third parties with which such entity does business; (ii) the grantee’s commission of (A) a felony (as such term is construed in accordance with U.S. law) or (B) any misdemeanor involving moral turpitude, deceit, dishonesty or fraud; (iii) the grantee’s failure to perform his assigned duties and responsibilities to the reasonable satisfaction of the Company which failure continues, in the reasonable judgment of the Company, after written notice given to the grantee by the Company; (iv) the grantee’s gross negligence (as such term is construed in accordance with U.S. law), willful misconduct or insubordination with respect to the Company or any Affiliate of the Company; or (v) the grantee’s material violation of any provision of any agreement(s) between the grantee and the Company relating to noncompetition, nonsolicitation, nondisclosure and/or assignment of inventions. </w:t>
      </w:r>
    </w:p>
    <w:p>
      <w:pPr>
        <w:pStyle w:val="TextBody"/>
        <w:bidi w:val="0"/>
        <w:spacing w:before="240" w:after="0"/>
        <w:jc w:val="left"/>
        <w:rPr/>
      </w:pPr>
      <w:r>
        <w:rPr/>
        <w:t>“</w:t>
      </w:r>
      <w:r>
        <w:rPr>
          <w:rFonts w:ascii="Times New Roman" w:hAnsi="Times New Roman"/>
          <w:i/>
          <w:sz w:val="20"/>
        </w:rPr>
        <w:t xml:space="preserve">Chief Executive Officer” </w:t>
      </w:r>
      <w:r>
        <w:rPr>
          <w:rFonts w:ascii="Times New Roman" w:hAnsi="Times New Roman"/>
          <w:sz w:val="20"/>
        </w:rPr>
        <w:t xml:space="preserve">means the Chief Executive Officer of the Company or, if there is no Chief Executive Officer, then the President of the Company. </w:t>
      </w:r>
    </w:p>
    <w:p>
      <w:pPr>
        <w:pStyle w:val="TextBody"/>
        <w:bidi w:val="0"/>
        <w:spacing w:before="240" w:after="0"/>
        <w:jc w:val="left"/>
        <w:rPr/>
      </w:pPr>
      <w:r>
        <w:rPr/>
        <w:t>“</w:t>
      </w:r>
      <w:r>
        <w:rPr>
          <w:rFonts w:ascii="Times New Roman" w:hAnsi="Times New Roman"/>
          <w:i/>
          <w:sz w:val="20"/>
        </w:rPr>
        <w:t>Code</w:t>
      </w:r>
      <w:r>
        <w:rPr>
          <w:rFonts w:ascii="Times New Roman" w:hAnsi="Times New Roman"/>
          <w:sz w:val="20"/>
        </w:rPr>
        <w:t xml:space="preserve">” means the Internal Revenue Code of 1986, as amended, and any successor Code, and related rules, regulations and interpretations. </w:t>
      </w:r>
    </w:p>
    <w:p>
      <w:pPr>
        <w:pStyle w:val="TextBody"/>
        <w:bidi w:val="0"/>
        <w:spacing w:before="240" w:after="0"/>
        <w:jc w:val="left"/>
        <w:rPr/>
      </w:pPr>
      <w:r>
        <w:rPr/>
        <w:t>“</w:t>
      </w:r>
      <w:r>
        <w:rPr>
          <w:rFonts w:ascii="Times New Roman" w:hAnsi="Times New Roman"/>
          <w:i/>
          <w:sz w:val="20"/>
        </w:rPr>
        <w:t>Committee</w:t>
      </w:r>
      <w:r>
        <w:rPr>
          <w:rFonts w:ascii="Times New Roman" w:hAnsi="Times New Roman"/>
          <w:sz w:val="20"/>
        </w:rPr>
        <w:t xml:space="preserve">” means the Committee of the Board referred to in Section 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Consultant”</w:t>
      </w:r>
      <w:r>
        <w:rPr>
          <w:rFonts w:ascii="Times New Roman" w:hAnsi="Times New Roman"/>
          <w:sz w:val="20"/>
        </w:rPr>
        <w:t xml:space="preserve"> means any natural person that provides bona fide services to the Company (including a Subsidiary), and such services are not in connection with the offer or sale of securities in a capital-raising transaction and do not directly or indirectly promote or maintain a market for the Company’s securities. </w:t>
      </w:r>
    </w:p>
    <w:p>
      <w:pPr>
        <w:pStyle w:val="TextBody"/>
        <w:bidi w:val="0"/>
        <w:spacing w:before="240" w:after="0"/>
        <w:jc w:val="left"/>
        <w:rPr/>
      </w:pPr>
      <w:r>
        <w:rPr/>
        <w:t>“</w:t>
      </w:r>
      <w:r>
        <w:rPr>
          <w:rFonts w:ascii="Times New Roman" w:hAnsi="Times New Roman"/>
          <w:i/>
          <w:sz w:val="20"/>
        </w:rPr>
        <w:t>Covenant Breach</w:t>
      </w:r>
      <w:r>
        <w:rPr>
          <w:rFonts w:ascii="Times New Roman" w:hAnsi="Times New Roman"/>
          <w:sz w:val="20"/>
        </w:rPr>
        <w:t xml:space="preserve">” means a breach by any Holder of Section 10 or of any other applicable restrictive covenant between such Holder and the Company or any of its Affiliates. </w:t>
      </w:r>
    </w:p>
    <w:p>
      <w:pPr>
        <w:pStyle w:val="TextBody"/>
        <w:bidi w:val="0"/>
        <w:spacing w:before="240" w:after="0"/>
        <w:jc w:val="left"/>
        <w:rPr/>
      </w:pPr>
      <w:r>
        <w:rPr/>
        <w:t>“</w:t>
      </w:r>
      <w:r>
        <w:rPr>
          <w:rFonts w:ascii="Times New Roman" w:hAnsi="Times New Roman"/>
          <w:i/>
          <w:sz w:val="20"/>
        </w:rPr>
        <w:t>Disability</w:t>
      </w:r>
      <w:r>
        <w:rPr>
          <w:rFonts w:ascii="Times New Roman" w:hAnsi="Times New Roman"/>
          <w:sz w:val="20"/>
        </w:rPr>
        <w:t xml:space="preserve">” means “disability” as defined in Section 422(c) of the Code. </w:t>
      </w:r>
    </w:p>
    <w:p>
      <w:pPr>
        <w:pStyle w:val="TextBody"/>
        <w:bidi w:val="0"/>
        <w:spacing w:before="240" w:after="0"/>
        <w:jc w:val="left"/>
        <w:rPr/>
      </w:pPr>
      <w:r>
        <w:rPr/>
        <w:t>“</w:t>
      </w:r>
      <w:r>
        <w:rPr>
          <w:rFonts w:ascii="Times New Roman" w:hAnsi="Times New Roman"/>
          <w:i/>
          <w:sz w:val="20"/>
        </w:rPr>
        <w:t>Effective Date</w:t>
      </w:r>
      <w:r>
        <w:rPr>
          <w:rFonts w:ascii="Times New Roman" w:hAnsi="Times New Roman"/>
          <w:sz w:val="20"/>
        </w:rPr>
        <w:t xml:space="preserve">” means the date on which the Plan is adopted as set forth on the final page of the Plan. </w:t>
      </w:r>
    </w:p>
    <w:p>
      <w:pPr>
        <w:pStyle w:val="TextBody"/>
        <w:bidi w:val="0"/>
        <w:spacing w:before="240" w:after="0"/>
        <w:jc w:val="left"/>
        <w:rPr/>
      </w:pPr>
      <w:r>
        <w:rPr/>
        <w:t>“</w:t>
      </w:r>
      <w:r>
        <w:rPr>
          <w:rFonts w:ascii="Times New Roman" w:hAnsi="Times New Roman"/>
          <w:i/>
          <w:sz w:val="20"/>
        </w:rPr>
        <w:t>Exchange Act</w:t>
      </w:r>
      <w:r>
        <w:rPr>
          <w:rFonts w:ascii="Times New Roman" w:hAnsi="Times New Roman"/>
          <w:sz w:val="20"/>
        </w:rPr>
        <w:t xml:space="preserve">” means the Securities Exchange Act of 1934, as amended, and the rules and regulations thereunder. </w:t>
      </w:r>
    </w:p>
    <w:p>
      <w:pPr>
        <w:pStyle w:val="TextBody"/>
        <w:bidi w:val="0"/>
        <w:spacing w:before="240" w:after="0"/>
        <w:jc w:val="left"/>
        <w:rPr/>
      </w:pPr>
      <w:r>
        <w:rPr/>
        <w:t>“</w:t>
      </w:r>
      <w:r>
        <w:rPr>
          <w:rFonts w:ascii="Times New Roman" w:hAnsi="Times New Roman"/>
          <w:i/>
          <w:sz w:val="20"/>
        </w:rPr>
        <w:t>Fair Market Value</w:t>
      </w:r>
      <w:r>
        <w:rPr>
          <w:rFonts w:ascii="Times New Roman" w:hAnsi="Times New Roman"/>
          <w:sz w:val="20"/>
        </w:rPr>
        <w:t xml:space="preserve">” of the Shares on any given date means the fair market value of the Shares determined in good faith by the Committee based on the reasonable application of a reasonable valuation method not inconsistent with Section 409A of the Code. If the Shares are admitted to trade on a national securities exchange, the determination shall be made by reference to the closing price reported on such exchange. If there is no closing price for such date, the determination shall be made by reference to the last date preceding such date for which there is a closing price. If the date for which Fair Market Value is determined is the first day when trading prices for the Shares are reported on a national securities exchange, the Fair Market Value shall be the “Price to the Public” (or equivalent) set forth on the cover page for the final prospectus relating to the Company’s Initial Public Offering. </w:t>
      </w:r>
    </w:p>
    <w:p>
      <w:pPr>
        <w:pStyle w:val="TextBody"/>
        <w:bidi w:val="0"/>
        <w:spacing w:before="240" w:after="0"/>
        <w:jc w:val="left"/>
        <w:rPr/>
      </w:pPr>
      <w:r>
        <w:rPr/>
        <w:t>“</w:t>
      </w:r>
      <w:r>
        <w:rPr>
          <w:rFonts w:ascii="Times New Roman" w:hAnsi="Times New Roman"/>
          <w:i/>
          <w:sz w:val="20"/>
        </w:rPr>
        <w:t>Good Reason”</w:t>
      </w:r>
      <w:r>
        <w:rPr>
          <w:rFonts w:ascii="Times New Roman" w:hAnsi="Times New Roman"/>
          <w:sz w:val="20"/>
        </w:rPr>
        <w:t xml:space="preserve"> shall have the meaning as set forth in the Award Agreement(s). In the case that any Award Agreement does not contain a definition of “Good Reason,” it shall mean (i) a material diminution in the grantee’s base salary except for across-the-board salary reductions similarly affecting all or substantially all similarly situated employees of the Company or (ii) a change of more than 50 miles in the geographic location at which the grantee provides services to the Company, so long as the grantee provides written notice to the Company within 30 days following the initial occurrence of any such event and the Company fails to cure such event within 30 days thereafter, provided, that if such grantee does not actually terminate employment within five business days of such cure period, any claim of “Good Reason” shall be deemed waived by such grantee. </w:t>
      </w:r>
    </w:p>
    <w:p>
      <w:pPr>
        <w:pStyle w:val="TextBody"/>
        <w:bidi w:val="0"/>
        <w:spacing w:before="240" w:after="0"/>
        <w:jc w:val="left"/>
        <w:rPr/>
      </w:pPr>
      <w:r>
        <w:rPr/>
        <w:t>“</w:t>
      </w:r>
      <w:r>
        <w:rPr>
          <w:rFonts w:ascii="Times New Roman" w:hAnsi="Times New Roman"/>
          <w:i/>
          <w:sz w:val="20"/>
        </w:rPr>
        <w:t xml:space="preserve">Grant Date” </w:t>
      </w:r>
      <w:r>
        <w:rPr>
          <w:rFonts w:ascii="Times New Roman" w:hAnsi="Times New Roman"/>
          <w:sz w:val="20"/>
        </w:rPr>
        <w:t xml:space="preserve">means the date that the Committee designates in its approval of an Award in accordance with applicable law as the date on which the Award is granted, which date may not precede the date of such Committee approval. </w:t>
      </w:r>
    </w:p>
    <w:p>
      <w:pPr>
        <w:pStyle w:val="TextBody"/>
        <w:bidi w:val="0"/>
        <w:spacing w:before="240" w:after="0"/>
        <w:jc w:val="left"/>
        <w:rPr/>
      </w:pPr>
      <w:r>
        <w:rPr/>
        <w:t>“</w:t>
      </w:r>
      <w:r>
        <w:rPr>
          <w:rFonts w:ascii="Times New Roman" w:hAnsi="Times New Roman"/>
          <w:i/>
          <w:sz w:val="20"/>
        </w:rPr>
        <w:t>Holder”</w:t>
      </w:r>
      <w:r>
        <w:rPr>
          <w:rFonts w:ascii="Times New Roman" w:hAnsi="Times New Roman"/>
          <w:sz w:val="20"/>
        </w:rPr>
        <w:t xml:space="preserve"> means, with respect to an Award or any Shares, the Person holding such Award or Shares, including the initial recipient of the Award or any Permitted Transferee. </w:t>
      </w:r>
    </w:p>
    <w:p>
      <w:pPr>
        <w:pStyle w:val="TextBody"/>
        <w:bidi w:val="0"/>
        <w:spacing w:before="240" w:after="0"/>
        <w:jc w:val="left"/>
        <w:rPr/>
      </w:pPr>
      <w:r>
        <w:rPr/>
        <w:t>“</w:t>
      </w:r>
      <w:r>
        <w:rPr>
          <w:rFonts w:ascii="Times New Roman" w:hAnsi="Times New Roman"/>
          <w:i/>
          <w:sz w:val="20"/>
        </w:rPr>
        <w:t>Incentive Stock Option</w:t>
      </w:r>
      <w:r>
        <w:rPr>
          <w:rFonts w:ascii="Times New Roman" w:hAnsi="Times New Roman"/>
          <w:sz w:val="20"/>
        </w:rPr>
        <w:t xml:space="preserve">” means any Stock Option designated and qualified as an “incentive stock option” as defined in Section 422 of the Code. </w:t>
      </w:r>
    </w:p>
    <w:p>
      <w:pPr>
        <w:pStyle w:val="TextBody"/>
        <w:bidi w:val="0"/>
        <w:spacing w:before="240" w:after="0"/>
        <w:jc w:val="left"/>
        <w:rPr/>
      </w:pPr>
      <w:r>
        <w:rPr/>
        <w:t>“</w:t>
      </w:r>
      <w:r>
        <w:rPr>
          <w:rFonts w:ascii="Times New Roman" w:hAnsi="Times New Roman"/>
          <w:i/>
          <w:sz w:val="20"/>
        </w:rPr>
        <w:t>Initial Public Offering</w:t>
      </w:r>
      <w:r>
        <w:rPr>
          <w:rFonts w:ascii="Times New Roman" w:hAnsi="Times New Roman"/>
          <w:sz w:val="20"/>
        </w:rPr>
        <w:t xml:space="preserve">” means the consummation of the first firm commitment underwritten public offering pursuant to an effective registration statement under the Securities Act covering the offer and sale by the Company of its equity securities, as a result of or following which the Shares shall be publicly held. </w:t>
      </w:r>
    </w:p>
    <w:p>
      <w:pPr>
        <w:pStyle w:val="TextBody"/>
        <w:bidi w:val="0"/>
        <w:spacing w:before="240" w:after="0"/>
        <w:jc w:val="left"/>
        <w:rPr/>
      </w:pPr>
      <w:r>
        <w:rPr/>
        <w:t>“</w:t>
      </w:r>
      <w:r>
        <w:rPr>
          <w:rFonts w:ascii="Times New Roman" w:hAnsi="Times New Roman"/>
          <w:i/>
          <w:sz w:val="20"/>
        </w:rPr>
        <w:t>Non-Qualified Stock Option</w:t>
      </w:r>
      <w:r>
        <w:rPr>
          <w:rFonts w:ascii="Times New Roman" w:hAnsi="Times New Roman"/>
          <w:sz w:val="20"/>
        </w:rPr>
        <w:t xml:space="preserve">” means any Stock Option that is not an Incentive Stock Option. </w:t>
      </w:r>
    </w:p>
    <w:p>
      <w:pPr>
        <w:pStyle w:val="TextBody"/>
        <w:bidi w:val="0"/>
        <w:spacing w:before="240" w:after="0"/>
        <w:jc w:val="left"/>
        <w:rPr/>
      </w:pPr>
      <w:r>
        <w:rPr/>
        <w:t>“</w:t>
      </w:r>
      <w:r>
        <w:rPr>
          <w:rFonts w:ascii="Times New Roman" w:hAnsi="Times New Roman"/>
          <w:i/>
          <w:sz w:val="20"/>
        </w:rPr>
        <w:t>Option</w:t>
      </w:r>
      <w:r>
        <w:rPr>
          <w:rFonts w:ascii="Times New Roman" w:hAnsi="Times New Roman"/>
          <w:sz w:val="20"/>
        </w:rPr>
        <w:t>” or “</w:t>
      </w:r>
      <w:r>
        <w:rPr>
          <w:rFonts w:ascii="Times New Roman" w:hAnsi="Times New Roman"/>
          <w:i/>
          <w:sz w:val="20"/>
        </w:rPr>
        <w:t>Stock Option</w:t>
      </w:r>
      <w:r>
        <w:rPr>
          <w:rFonts w:ascii="Times New Roman" w:hAnsi="Times New Roman"/>
          <w:sz w:val="20"/>
        </w:rPr>
        <w:t xml:space="preserve">” means any option to purchase Shares granted pursuant to Section 5. </w:t>
      </w:r>
    </w:p>
    <w:p>
      <w:pPr>
        <w:pStyle w:val="TextBody"/>
        <w:bidi w:val="0"/>
        <w:spacing w:before="240" w:after="0"/>
        <w:jc w:val="left"/>
        <w:rPr/>
      </w:pPr>
      <w:r>
        <w:rPr/>
        <w:t>“</w:t>
      </w:r>
      <w:r>
        <w:rPr>
          <w:rFonts w:ascii="Times New Roman" w:hAnsi="Times New Roman"/>
          <w:i/>
          <w:sz w:val="20"/>
        </w:rPr>
        <w:t xml:space="preserve">Original Cost” </w:t>
      </w:r>
      <w:r>
        <w:rPr>
          <w:rFonts w:ascii="Times New Roman" w:hAnsi="Times New Roman"/>
          <w:sz w:val="20"/>
        </w:rPr>
        <w:t xml:space="preserve">means the amount paid in cash, if any, paid by a Holder to the Company in exchange for receipt of a Share. For the avoidance of doubt, “Original Cost” shall not include any consideration paid in respect of withholding taxes or, if applicable, Shares paid as part of a cashless exercise or settlement of an Award.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Permitted Transferees</w:t>
      </w:r>
      <w:r>
        <w:rPr>
          <w:rFonts w:ascii="Times New Roman" w:hAnsi="Times New Roman"/>
          <w:sz w:val="20"/>
        </w:rPr>
        <w:t>” shall mean any of the following to whom a Holder may transfer Shares hereunder (as set forth in Section 9(a)(ii)(A)): the Holder’s child, stepchild, grandchild, parent, stepparent, grandparent, spouse, former spouse, sibling, niece, nephew, mother-in-law, father-in-law, son-in-law, daughter-in-law, brother-in-law, or sister-in-law, including adoptive relationships, any person sharing the Holder’s household (other than a tenant or employee), a trust in which these persons have more than fifty percent of the beneficial interest, a foundation in which these persons control the management of assets, and any other entity in which these persons own more than fifty percent of the voting interests</w:t>
      </w:r>
      <w:r>
        <w:rPr>
          <w:rFonts w:ascii="Times New Roman" w:hAnsi="Times New Roman"/>
          <w:i/>
          <w:sz w:val="20"/>
        </w:rPr>
        <w:t>; provided, however,</w:t>
      </w:r>
      <w:r>
        <w:rPr>
          <w:rFonts w:ascii="Times New Roman" w:hAnsi="Times New Roman"/>
          <w:sz w:val="20"/>
        </w:rPr>
        <w:t xml:space="preserve"> that any such trust does not require or permit distribution of any Shares during the term of the Award Agreement unless subject to its terms. Upon the death of the Holder, the term Permitted Transferees shall also include such deceased Holder’s estate, executors, administrators, personal representatives, heirs, legatees and distributees, as the case may be. </w:t>
      </w:r>
    </w:p>
    <w:p>
      <w:pPr>
        <w:pStyle w:val="TextBody"/>
        <w:bidi w:val="0"/>
        <w:spacing w:before="240" w:after="0"/>
        <w:jc w:val="left"/>
        <w:rPr/>
      </w:pPr>
      <w:r>
        <w:rPr/>
        <w:t>“</w:t>
      </w:r>
      <w:r>
        <w:rPr>
          <w:rFonts w:ascii="Times New Roman" w:hAnsi="Times New Roman"/>
          <w:i/>
          <w:sz w:val="20"/>
        </w:rPr>
        <w:t>Person</w:t>
      </w:r>
      <w:r>
        <w:rPr>
          <w:rFonts w:ascii="Times New Roman" w:hAnsi="Times New Roman"/>
          <w:sz w:val="20"/>
        </w:rPr>
        <w:t xml:space="preserve">” shall mean any individual, corporation, partnership (limited or general), limited liability company, limited liability partnership, association, trust, joint venture, unincorporated organization or any similar entity. </w:t>
      </w:r>
    </w:p>
    <w:p>
      <w:pPr>
        <w:pStyle w:val="TextBody"/>
        <w:bidi w:val="0"/>
        <w:spacing w:before="240" w:after="0"/>
        <w:jc w:val="left"/>
        <w:rPr/>
      </w:pPr>
      <w:r>
        <w:rPr/>
        <w:t>“</w:t>
      </w:r>
      <w:r>
        <w:rPr>
          <w:rFonts w:ascii="Times New Roman" w:hAnsi="Times New Roman"/>
          <w:i/>
          <w:sz w:val="20"/>
        </w:rPr>
        <w:t>Restricted Stock Award”</w:t>
      </w:r>
      <w:r>
        <w:rPr>
          <w:rFonts w:ascii="Times New Roman" w:hAnsi="Times New Roman"/>
          <w:sz w:val="20"/>
        </w:rPr>
        <w:t xml:space="preserve"> means Awards granted pursuant to Section 6 and “</w:t>
      </w:r>
      <w:r>
        <w:rPr>
          <w:rFonts w:ascii="Times New Roman" w:hAnsi="Times New Roman"/>
          <w:i/>
          <w:sz w:val="20"/>
        </w:rPr>
        <w:t>Restricted Stock”</w:t>
      </w:r>
      <w:r>
        <w:rPr>
          <w:rFonts w:ascii="Times New Roman" w:hAnsi="Times New Roman"/>
          <w:sz w:val="20"/>
        </w:rPr>
        <w:t xml:space="preserve"> means Shares issued pursuant to such Awards. </w:t>
      </w:r>
    </w:p>
    <w:p>
      <w:pPr>
        <w:pStyle w:val="TextBody"/>
        <w:bidi w:val="0"/>
        <w:spacing w:before="240" w:after="0"/>
        <w:jc w:val="left"/>
        <w:rPr/>
      </w:pPr>
      <w:r>
        <w:rPr/>
        <w:t>“</w:t>
      </w:r>
      <w:r>
        <w:rPr>
          <w:rFonts w:ascii="Times New Roman" w:hAnsi="Times New Roman"/>
          <w:i/>
          <w:sz w:val="20"/>
        </w:rPr>
        <w:t>Restricted Stock Unit”</w:t>
      </w:r>
      <w:r>
        <w:rPr>
          <w:rFonts w:ascii="Times New Roman" w:hAnsi="Times New Roman"/>
          <w:sz w:val="20"/>
        </w:rPr>
        <w:t xml:space="preserve"> means an Award of phantom stock units to a grantee, which may be settled in cash or Shares as determined by the Committee, pursuant to Section 8. </w:t>
      </w:r>
    </w:p>
    <w:p>
      <w:pPr>
        <w:pStyle w:val="TextBody"/>
        <w:bidi w:val="0"/>
        <w:spacing w:before="240" w:after="0"/>
        <w:jc w:val="left"/>
        <w:rPr/>
      </w:pPr>
      <w:r>
        <w:rPr/>
        <w:t>“</w:t>
      </w:r>
      <w:r>
        <w:rPr>
          <w:rFonts w:ascii="Times New Roman" w:hAnsi="Times New Roman"/>
          <w:i/>
          <w:sz w:val="20"/>
        </w:rPr>
        <w:t>Sale Event”</w:t>
      </w:r>
      <w:r>
        <w:rPr>
          <w:rFonts w:ascii="Times New Roman" w:hAnsi="Times New Roman"/>
          <w:sz w:val="20"/>
        </w:rPr>
        <w:t xml:space="preserve"> means the consummation of (i) the dissolution or liquidation of the Company, (ii) the sale of all or substantially all of the assets of the Company on a consolidated basis to an unrelated person or entity, (iii) a merger, reorganization or consolidation pursuant to which the holders of the Company’s outstanding voting power immediately prior to such transaction do not own a majority of the outstanding voting power of the surviving or resulting entity (or its ultimate parent, if applicable), (iv) the acquisition of all or a majority of the outstanding voting shares of the Company in a single transaction or a series of related transactions by a Person or group of Persons (excluding, however, transactions for which holders of the Company’s outstanding voting power immediately prior to such transaction continue to own a majority of the outstanding voting power of the surviving or resulting entity (or its ultimate parent, if applicable)), or (v) any other acquisition of the business of the Company, as determined by the Board; </w:t>
      </w:r>
      <w:r>
        <w:rPr>
          <w:rFonts w:ascii="Times New Roman" w:hAnsi="Times New Roman"/>
          <w:i/>
          <w:sz w:val="20"/>
        </w:rPr>
        <w:t xml:space="preserve">provided, however, </w:t>
      </w:r>
      <w:r>
        <w:rPr>
          <w:rFonts w:ascii="Times New Roman" w:hAnsi="Times New Roman"/>
          <w:sz w:val="20"/>
        </w:rPr>
        <w:t xml:space="preserve">that in the event an Award is subject to Section 409A, no such event shall constitute a “Sale Event” unless such event is also a change of ownership, a change in effective control, or a change in the ownership of a substantial portion of the assets of the Company, in each case, within the meaning of Section 409A. </w:t>
      </w:r>
    </w:p>
    <w:p>
      <w:pPr>
        <w:pStyle w:val="TextBody"/>
        <w:bidi w:val="0"/>
        <w:spacing w:before="240" w:after="0"/>
        <w:jc w:val="left"/>
        <w:rPr/>
      </w:pPr>
      <w:r>
        <w:rPr/>
        <w:t>“</w:t>
      </w:r>
      <w:r>
        <w:rPr>
          <w:rFonts w:ascii="Times New Roman" w:hAnsi="Times New Roman"/>
          <w:i/>
          <w:sz w:val="20"/>
        </w:rPr>
        <w:t>Section</w:t>
      </w:r>
      <w:r>
        <w:rPr>
          <w:rFonts w:ascii="Times New Roman" w:hAnsi="Times New Roman"/>
          <w:sz w:val="20"/>
        </w:rPr>
        <w:t> </w:t>
      </w:r>
      <w:r>
        <w:rPr>
          <w:rFonts w:ascii="Times New Roman" w:hAnsi="Times New Roman"/>
          <w:i/>
          <w:sz w:val="20"/>
        </w:rPr>
        <w:t>409A”</w:t>
      </w:r>
      <w:r>
        <w:rPr>
          <w:rFonts w:ascii="Times New Roman" w:hAnsi="Times New Roman"/>
          <w:sz w:val="20"/>
        </w:rPr>
        <w:t xml:space="preserve"> means Section 409A of the Code and the regulations and other guidance promulgated thereunder. </w:t>
      </w:r>
    </w:p>
    <w:p>
      <w:pPr>
        <w:pStyle w:val="TextBody"/>
        <w:bidi w:val="0"/>
        <w:spacing w:before="240" w:after="0"/>
        <w:jc w:val="left"/>
        <w:rPr/>
      </w:pPr>
      <w:r>
        <w:rPr/>
        <w:t>“</w:t>
      </w:r>
      <w:r>
        <w:rPr>
          <w:rFonts w:ascii="Times New Roman" w:hAnsi="Times New Roman"/>
          <w:i/>
          <w:sz w:val="20"/>
        </w:rPr>
        <w:t>Securities Act</w:t>
      </w:r>
      <w:r>
        <w:rPr>
          <w:rFonts w:ascii="Times New Roman" w:hAnsi="Times New Roman"/>
          <w:sz w:val="20"/>
        </w:rPr>
        <w:t xml:space="preserve">” means the Securities Act of 1933, as amended, and the rules and regulations thereunder. </w:t>
      </w:r>
    </w:p>
    <w:p>
      <w:pPr>
        <w:pStyle w:val="TextBody"/>
        <w:bidi w:val="0"/>
        <w:spacing w:before="240" w:after="0"/>
        <w:jc w:val="left"/>
        <w:rPr/>
      </w:pPr>
      <w:r>
        <w:rPr/>
        <w:t>“</w:t>
      </w:r>
      <w:r>
        <w:rPr>
          <w:rFonts w:ascii="Times New Roman" w:hAnsi="Times New Roman"/>
          <w:i/>
          <w:sz w:val="20"/>
        </w:rPr>
        <w:t>Service Relationship”</w:t>
      </w:r>
      <w:r>
        <w:rPr>
          <w:rFonts w:ascii="Times New Roman" w:hAnsi="Times New Roman"/>
          <w:sz w:val="20"/>
        </w:rPr>
        <w:t xml:space="preserve"> means any relationship as a full-time employee, part-time employee, director or other key person (including Consultants) of the Company or any Subsidiary or any successor entity (e.g., a Service Relationship shall be deemed to continue without interruption in the event an individual’s status changes from full-time employee to parttime employee or Consultant). </w:t>
      </w:r>
    </w:p>
    <w:p>
      <w:pPr>
        <w:pStyle w:val="TextBody"/>
        <w:bidi w:val="0"/>
        <w:spacing w:before="240" w:after="0"/>
        <w:jc w:val="left"/>
        <w:rPr/>
      </w:pPr>
      <w:r>
        <w:rPr/>
        <w:t>“</w:t>
      </w:r>
      <w:r>
        <w:rPr>
          <w:rFonts w:ascii="Times New Roman" w:hAnsi="Times New Roman"/>
          <w:i/>
          <w:sz w:val="20"/>
        </w:rPr>
        <w:t>Shares</w:t>
      </w:r>
      <w:r>
        <w:rPr>
          <w:rFonts w:ascii="Times New Roman" w:hAnsi="Times New Roman"/>
          <w:sz w:val="20"/>
        </w:rPr>
        <w:t xml:space="preserve">” means the ordinary shares, par value $0.00001 per share, of the Company. </w:t>
      </w:r>
    </w:p>
    <w:p>
      <w:pPr>
        <w:pStyle w:val="TextBody"/>
        <w:bidi w:val="0"/>
        <w:spacing w:before="240" w:after="0"/>
        <w:jc w:val="left"/>
        <w:rPr/>
      </w:pPr>
      <w:r>
        <w:rPr/>
        <w:t>“</w:t>
      </w:r>
      <w:r>
        <w:rPr>
          <w:rFonts w:ascii="Times New Roman" w:hAnsi="Times New Roman"/>
          <w:i/>
          <w:sz w:val="20"/>
        </w:rPr>
        <w:t>Subsidiary</w:t>
      </w:r>
      <w:r>
        <w:rPr>
          <w:rFonts w:ascii="Times New Roman" w:hAnsi="Times New Roman"/>
          <w:sz w:val="20"/>
        </w:rPr>
        <w:t xml:space="preserve">” means any corporation or other entity (other than the Company) in which the Company has more than a 50 percent interest, either directly or indirectly. </w:t>
      </w:r>
    </w:p>
    <w:p>
      <w:pPr>
        <w:pStyle w:val="TextBody"/>
        <w:bidi w:val="0"/>
        <w:spacing w:before="240" w:after="0"/>
        <w:jc w:val="left"/>
        <w:rPr/>
      </w:pPr>
      <w:r>
        <w:rPr/>
        <w:t>“</w:t>
      </w:r>
      <w:r>
        <w:rPr>
          <w:rFonts w:ascii="Times New Roman" w:hAnsi="Times New Roman"/>
          <w:i/>
          <w:sz w:val="20"/>
        </w:rPr>
        <w:t>Ten Percent Owner”</w:t>
      </w:r>
      <w:r>
        <w:rPr>
          <w:rFonts w:ascii="Times New Roman" w:hAnsi="Times New Roman"/>
          <w:sz w:val="20"/>
        </w:rPr>
        <w:t xml:space="preserve"> means an employee who owns or is deemed to own (by reason of the attribution rules of Section 424(d) of the Code) more than 10 percent of the combined voting power of all classes of shares of the Company or any parent of the Company or any Subsidiary. </w:t>
      </w:r>
    </w:p>
    <w:p>
      <w:pPr>
        <w:pStyle w:val="TextBody"/>
        <w:bidi w:val="0"/>
        <w:spacing w:before="240" w:after="0"/>
        <w:jc w:val="left"/>
        <w:rPr/>
      </w:pPr>
      <w:r>
        <w:rPr/>
        <w:t>“</w:t>
      </w:r>
      <w:r>
        <w:rPr>
          <w:rFonts w:ascii="Times New Roman" w:hAnsi="Times New Roman"/>
          <w:i/>
          <w:sz w:val="20"/>
        </w:rPr>
        <w:t>Termination Event”</w:t>
      </w:r>
      <w:r>
        <w:rPr>
          <w:rFonts w:ascii="Times New Roman" w:hAnsi="Times New Roman"/>
          <w:sz w:val="20"/>
        </w:rPr>
        <w:t xml:space="preserve"> means the termination of the Award recipient’s Service Relationship with the Company and its Subsidiaries for any reason whatsoever, regardless of the circumstances thereof, and including, without limitation, upon death, disability, retirement, discharge or resignation for any reason, whether voluntarily or involuntarily. The following shall not constitute a Termination Event: (i) a transfer to the service of the Company from a Subsidiary or from the Company to a Subsidiary, or from one Subsidiary to another Subsidiary or (ii) an approved leave of absence for military service or sickness, or for any other purpose approved by the Committee, if the individual’s right to re-employment is guaranteed either by a statute or by contract or under the policy pursuant to which the leave of absence was granted or if the Committee otherwise so provides in writing.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Unrestricted Stock Award”</w:t>
      </w:r>
      <w:r>
        <w:rPr>
          <w:rFonts w:ascii="Times New Roman" w:hAnsi="Times New Roman"/>
          <w:sz w:val="20"/>
        </w:rPr>
        <w:t xml:space="preserve"> means any Award granted pursuant to Section 7 and “</w:t>
      </w:r>
      <w:r>
        <w:rPr>
          <w:rFonts w:ascii="Times New Roman" w:hAnsi="Times New Roman"/>
          <w:i/>
          <w:sz w:val="20"/>
        </w:rPr>
        <w:t>Unrestricted Stock”</w:t>
      </w:r>
      <w:r>
        <w:rPr>
          <w:rFonts w:ascii="Times New Roman" w:hAnsi="Times New Roman"/>
          <w:sz w:val="20"/>
        </w:rPr>
        <w:t xml:space="preserve"> means Shares issued pursuant to such Awards.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ADMINISTRATION OF PLAN; COMMITTEE AUTHORITY TO SELECT GRANTEES AND DETERMINE AWARDS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Administration of Plan</w:t>
      </w:r>
      <w:r>
        <w:rPr>
          <w:rFonts w:ascii="Times New Roman" w:hAnsi="Times New Roman"/>
          <w:sz w:val="20"/>
        </w:rPr>
        <w:t xml:space="preserve">. The Plan shall be administered by the Board, or at the discretion of the Board, by a committee of the Board, comprised of not less than two directors. All references herein to the “Committee” shall be deemed to refer to the group then responsible for administration of the Plan at the relevant time (i.e., either the Board of Directors or a committee or committees of the Board, as applicable).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Powers of Committee</w:t>
      </w:r>
      <w:r>
        <w:rPr>
          <w:rFonts w:ascii="Times New Roman" w:hAnsi="Times New Roman"/>
          <w:sz w:val="20"/>
        </w:rPr>
        <w:t xml:space="preserve">. The Committee shall have the power and authority to grant Awards consistent with the terms of the Plan, including the power and authority: </w:t>
      </w:r>
    </w:p>
    <w:p>
      <w:pPr>
        <w:pStyle w:val="TextBody"/>
        <w:bidi w:val="0"/>
        <w:spacing w:before="240" w:after="0"/>
        <w:jc w:val="left"/>
        <w:rPr>
          <w:rFonts w:ascii="Times New Roman" w:hAnsi="Times New Roman"/>
          <w:sz w:val="20"/>
        </w:rPr>
      </w:pPr>
      <w:r>
        <w:rPr>
          <w:rFonts w:ascii="Times New Roman" w:hAnsi="Times New Roman"/>
          <w:sz w:val="20"/>
        </w:rPr>
        <w:t xml:space="preserve">(i) to select the individuals to whom Awards may from time to time be granted; </w:t>
      </w:r>
    </w:p>
    <w:p>
      <w:pPr>
        <w:pStyle w:val="TextBody"/>
        <w:bidi w:val="0"/>
        <w:spacing w:before="240" w:after="0"/>
        <w:jc w:val="left"/>
        <w:rPr>
          <w:rFonts w:ascii="Times New Roman" w:hAnsi="Times New Roman"/>
          <w:sz w:val="20"/>
        </w:rPr>
      </w:pPr>
      <w:r>
        <w:rPr>
          <w:rFonts w:ascii="Times New Roman" w:hAnsi="Times New Roman"/>
          <w:sz w:val="20"/>
        </w:rPr>
        <w:t xml:space="preserve">(ii) to determine the time or times of grant, and the amount, if any, of Incentive Stock Options, Non-Qualified Stock Options, Restricted Stock Awards, Unrestricted Stock Awards, Restricted Stock Units, or any combination of the foregoing, granted to any one or more grantees; </w:t>
      </w:r>
    </w:p>
    <w:p>
      <w:pPr>
        <w:pStyle w:val="TextBody"/>
        <w:bidi w:val="0"/>
        <w:spacing w:before="240" w:after="0"/>
        <w:jc w:val="left"/>
        <w:rPr>
          <w:rFonts w:ascii="Times New Roman" w:hAnsi="Times New Roman"/>
          <w:sz w:val="20"/>
        </w:rPr>
      </w:pPr>
      <w:r>
        <w:rPr>
          <w:rFonts w:ascii="Times New Roman" w:hAnsi="Times New Roman"/>
          <w:sz w:val="20"/>
        </w:rPr>
        <w:t xml:space="preserve">(iii) to determine the number of Shares to be covered by any Award and, subject to the provisions of the Plan, the price, exercise price, conversion ratio or other price relating thereto; </w:t>
      </w:r>
    </w:p>
    <w:p>
      <w:pPr>
        <w:pStyle w:val="TextBody"/>
        <w:bidi w:val="0"/>
        <w:spacing w:before="240" w:after="0"/>
        <w:jc w:val="left"/>
        <w:rPr>
          <w:rFonts w:ascii="Times New Roman" w:hAnsi="Times New Roman"/>
          <w:sz w:val="20"/>
        </w:rPr>
      </w:pPr>
      <w:r>
        <w:rPr>
          <w:rFonts w:ascii="Times New Roman" w:hAnsi="Times New Roman"/>
          <w:sz w:val="20"/>
        </w:rPr>
        <w:t xml:space="preserve">(iv) to determine and, subject to Section 13, to modify from time to time the terms and conditions, including restrictions, not inconsistent with the terms of the Plan, of any Award, which terms and conditions may differ among individual Awards and grantees, and to approve the form of Award Agreements; </w:t>
      </w:r>
    </w:p>
    <w:p>
      <w:pPr>
        <w:pStyle w:val="TextBody"/>
        <w:bidi w:val="0"/>
        <w:spacing w:before="240" w:after="0"/>
        <w:jc w:val="left"/>
        <w:rPr>
          <w:rFonts w:ascii="Times New Roman" w:hAnsi="Times New Roman"/>
          <w:sz w:val="20"/>
        </w:rPr>
      </w:pPr>
      <w:r>
        <w:rPr>
          <w:rFonts w:ascii="Times New Roman" w:hAnsi="Times New Roman"/>
          <w:sz w:val="20"/>
        </w:rPr>
        <w:t xml:space="preserve">(v) to accelerate at any time the exercisability or vesting of all or any portion of any Award; </w:t>
      </w:r>
    </w:p>
    <w:p>
      <w:pPr>
        <w:pStyle w:val="TextBody"/>
        <w:bidi w:val="0"/>
        <w:spacing w:before="240" w:after="0"/>
        <w:jc w:val="left"/>
        <w:rPr>
          <w:rFonts w:ascii="Times New Roman" w:hAnsi="Times New Roman"/>
          <w:sz w:val="20"/>
        </w:rPr>
      </w:pPr>
      <w:r>
        <w:rPr>
          <w:rFonts w:ascii="Times New Roman" w:hAnsi="Times New Roman"/>
          <w:sz w:val="20"/>
        </w:rPr>
        <w:t xml:space="preserve">(vi) to impose any limitations on Awards, including limitations on transfers, repurchase provisions and the like, and to exercise repurchase rights or obligations; </w:t>
      </w:r>
    </w:p>
    <w:p>
      <w:pPr>
        <w:pStyle w:val="TextBody"/>
        <w:bidi w:val="0"/>
        <w:spacing w:before="240" w:after="0"/>
        <w:jc w:val="left"/>
        <w:rPr>
          <w:rFonts w:ascii="Times New Roman" w:hAnsi="Times New Roman"/>
          <w:sz w:val="20"/>
        </w:rPr>
      </w:pPr>
      <w:r>
        <w:rPr>
          <w:rFonts w:ascii="Times New Roman" w:hAnsi="Times New Roman"/>
          <w:sz w:val="20"/>
        </w:rPr>
        <w:t xml:space="preserve">(vii) subject to Section 5(a)(ii) and any restrictions imposed by Section 409A, to extend at any time the period in which Stock Options may be exercised; and </w:t>
      </w:r>
    </w:p>
    <w:p>
      <w:pPr>
        <w:pStyle w:val="TextBody"/>
        <w:bidi w:val="0"/>
        <w:spacing w:before="240" w:after="0"/>
        <w:jc w:val="left"/>
        <w:rPr>
          <w:rFonts w:ascii="Times New Roman" w:hAnsi="Times New Roman"/>
          <w:sz w:val="20"/>
        </w:rPr>
      </w:pPr>
      <w:r>
        <w:rPr>
          <w:rFonts w:ascii="Times New Roman" w:hAnsi="Times New Roman"/>
          <w:sz w:val="20"/>
        </w:rPr>
        <w:t xml:space="preserve">(viii) at any time to adopt, alter and repeal such rules, guidelines and practices for administration of the Plan and for its own acts and proceedings as it shall deem advisable; to interpret the terms and provisions of the Plan and any Award (including Award Agreements); to make all determinations it deems advisable for the administration of the Plan; to decide all disputes arising in connection with the Plan; and to otherwise supervise the administration of the Plan. </w:t>
      </w:r>
    </w:p>
    <w:p>
      <w:pPr>
        <w:pStyle w:val="TextBody"/>
        <w:bidi w:val="0"/>
        <w:spacing w:before="240" w:after="0"/>
        <w:jc w:val="left"/>
        <w:rPr>
          <w:rFonts w:ascii="Times New Roman" w:hAnsi="Times New Roman"/>
          <w:sz w:val="20"/>
        </w:rPr>
      </w:pPr>
      <w:r>
        <w:rPr>
          <w:rFonts w:ascii="Times New Roman" w:hAnsi="Times New Roman"/>
          <w:sz w:val="20"/>
        </w:rPr>
        <w:t xml:space="preserve">All decisions and interpretations of the Committee shall be binding on all persons, including the Company and all Holders.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Award Agreement</w:t>
      </w:r>
      <w:r>
        <w:rPr>
          <w:rFonts w:ascii="Times New Roman" w:hAnsi="Times New Roman"/>
          <w:sz w:val="20"/>
        </w:rPr>
        <w:t xml:space="preserve">. Awards under the Plan shall be evidenced by Award Agreements that set forth the terms, conditions and limitations for each Award.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Indemnification</w:t>
      </w:r>
      <w:r>
        <w:rPr>
          <w:rFonts w:ascii="Times New Roman" w:hAnsi="Times New Roman"/>
          <w:sz w:val="20"/>
        </w:rPr>
        <w:t xml:space="preserve">. Neither the Board nor the Committee, nor any member of either or any delegate thereof, shall be liable for any act, omission, interpretation, construction or determination made in good faith in connection with the Plan, and the members of the Board and the Committee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governing documents, including its memorandum and articles of association, or any directors’ and officers’ liability insurance coverage which may be in effect from time to time and/or any indemnification agreement between such individual and the Company.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Foreign Award Recipients</w:t>
      </w:r>
      <w:r>
        <w:rPr>
          <w:rFonts w:ascii="Times New Roman" w:hAnsi="Times New Roman"/>
          <w:sz w:val="20"/>
        </w:rPr>
        <w:t xml:space="preserve">. Notwithstanding any provision of the Plan to the contrary, in order to comply with the laws in other countries in which the Company and any Subsidiary operate or have employees or other persons eligible for Awards, the Committee, in its sole discretion, shall have the power and authority to: (i) determine which Subsidiaries, if any, shall be covered by the Plan; (ii) determine which persons, if any, outside the United States are eligible to participate in the Plan; (iii) modify the terms and conditions of any Award granted to persons outside the United States to comply with applicable foreign laws; (iv) establish subplans and modify exercise procedures and other terms and procedures, to the extent the Committee determines such actions to be necessary or advisable (and such subplans and/or modifications shall be attached to the Plan as appendices);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subplans and/or modifications shall increase the share limitation contained in Section 3(a) hereof; and (v) take any action, before or after an Award is made, that the Committee determines to be necessary or advisable to obtain approval or comply with any local governmental regulatory exemptions or approvals.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SHARES ISSUABLE UNDER THE PLAN; MERGERS AND OTHER TRANSACTIONS; SUBSTITUTION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Shares Issuable</w:t>
      </w:r>
      <w:r>
        <w:rPr>
          <w:rFonts w:ascii="Times New Roman" w:hAnsi="Times New Roman"/>
          <w:sz w:val="20"/>
        </w:rPr>
        <w:t xml:space="preserve">. The maximum number of Shares reserved and available for issuance under the Plan shall be 103,193 Shares, subject to adjustment as provided in Section 3(b). For purposes of this limitation, the Shares underlying any Awards that are forfeited, canceled, reacquired by the Company prior to vesting, satisfied without the issuance of Shares or otherwise terminated (other than by exercise) and Shares that are withheld upon exercise of an Option or settlement of an Award to cover the exercise price or tax withholding shall be added back to the Shares available for issuance under the Plan. Subject to such overall limitations, Shares may be issued up to such maximum number pursuant to any type or types of Award, and no more than 13,462 Shares may be issued pursuant to Incentive Stock Options. The Shares available for issuance under the Plan may be authorized but unissued Shares or Shares reacquired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Changes in Shares</w:t>
      </w:r>
      <w:r>
        <w:rPr>
          <w:rFonts w:ascii="Times New Roman" w:hAnsi="Times New Roman"/>
          <w:sz w:val="20"/>
        </w:rPr>
        <w:t xml:space="preserve">. Subject to Section 3(c) hereof, if, as a result of any reorganization, recapitalization, reclassification, share dividend, share split, reverse share split or other similar change in the Company’s share capital, the outstanding Shares are increased or decreased or are exchanged for a different number or kind of shares or other securities of the Company, or additional Shares or new or different shares or other securities of the Company or other non-cash assets are distributed with respect to such Shares or other securities, in each case, without the receipt of consideration by the Company, or, if, as a result of any merger or consolidation, or sale of all or substantially all of the assets of the Company, the outstanding Shares are converted into or exchanged for other securities of the Company or any successor entity (or a parent or subsidiary thereof), the Committee shall make an appropriate and proportionate adjustment in (i) the maximum number of Shares reserved for issuance under the Plan, (ii) the number and kind of Shares or other securities subject to any then outstanding Awards under the Plan, (iii) the repurchase price, if any, per Share subject to each outstanding Award, and (iv) the exercise price for each Share subject to any then outstanding Stock Options under the Plan, without changing the aggregate exercise price (i.e., the exercise price multiplied by the number of Stock Options) as to which such Stock Options remain exercisable. The Committee shall in any event make such adjustments as may be required by Section 25102(o) of the California Corporation Code and the rules and regulations promulgated thereunder. The adjustment by the Committee shall be final, binding and conclusive. No fractional Shares shall be issued under the Plan resulting from any such adjustment, but the Committee in its discretion may make a cash payment in lieu of fractional shares.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Sale Events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Options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the case of and subject to the consummation of a Sale Event, the Plan and all outstanding Options issued hereunder shall terminate upon the effective time of any such Sale Event unless assumed or continued by the successor entity, or new stock options or other awards of the successor entity or parent thereof are substituted therefor, with an equitable or proportionate adjustment as to the number and kind of shares and, if appropriate, the per share exercise prices, as such parties shall agree (after taking into account any acceleration hereunder and/or pursuant to the terms of any Award Agreement).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of the termination of the Plan and all outstanding Options issued hereunder pursuant to Section 3(c), each Holder of Options shall be permitted, within a period of time prior to the consummation of the Sale Event as specified by the Committee, to exercise all such Options which are then vested and exercisable or will become vested and exercisable as of the effective time of the Sale Event; </w:t>
      </w:r>
      <w:r>
        <w:rPr>
          <w:rFonts w:ascii="Times New Roman" w:hAnsi="Times New Roman"/>
          <w:i/>
          <w:sz w:val="20"/>
        </w:rPr>
        <w:t>provided, however</w:t>
      </w:r>
      <w:r>
        <w:rPr>
          <w:rFonts w:ascii="Times New Roman" w:hAnsi="Times New Roman"/>
          <w:sz w:val="20"/>
        </w:rPr>
        <w:t xml:space="preserve">, that the exercise of Options not vested and exercisable prior to the Sale Event shall be subject to the consummation of the Sale Event.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Notwithstanding anything to the contrary in Section 3(c)(i)(A), in the event of a Sale Event, the Company shall have the right, but not the obligation, to make or provide for a cash payment to the Holders of Options, without any consent of the Holders, in exchange for the cancellation thereof, in an amount equal to the difference between (A) the value as determined by the Committee of the consideration payable per Share pursuant to the Sale Event (the “Sale Price”) times the number of Shares subject to outstanding Options being cancelled (to the extent then vested and exercisable, including by reason of acceleration in connection with such Sale Event, at prices not in excess of the Sale Price) and (B) the aggregate exercise price of all such outstanding vested and exercisable Options.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Restricted Stock and Restricted Stock Unit Awards.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the case of and subject to the consummation of a Sale Event, all unvested Restricted Stock and unvested Restricted Stock Unit Awards (other than those becoming vested as a result of the Sale Event) issued hereunder shall be forfeited immediately prior to the effective time of any such Sale Event unless assumed or continued by the successor entity, or awards of the successor entity or parent thereof are substituted therefor, with an equitable or proportionate adjustment as to the number and kind of shares subject to such awards as such parties shall agree (after taking into account any acceleration hereunder and/or pursuant to the terms of any Award Agreement).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of the forfeiture of Restricted Stock pursuant to Section 3(c)(ii)(A), such Restricted Stock shall be repurchased from the Holder thereof at a price per share equal to the original per share purchase price paid by the Holder (subject to adjustment as provided in Section 3(b)) for such Shares.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in Section 3(c)(ii)(A), in the event of a Sale Event, the Company shall have the right, but not the obligation, to (x) accelerate the vesting of any unvested Restricted Stock and/or Restricted Stock Units Awards and/or (y) make or provide for a cash payment to the Holders of vested Restricted Stock or vested Restricted Stock Unit Awards, without consent of the Holders, in exchange for the cancellation thereof, in an amount equal to the Sale Price times the number of Shares subject to such vested Awards, to be paid at the time of such Sale Event or, if applicable, upon the later vesting of such Awards. </w:t>
      </w:r>
    </w:p>
    <w:p>
      <w:pPr>
        <w:pStyle w:val="TextBody"/>
        <w:bidi w:val="0"/>
        <w:spacing w:before="240" w:after="0"/>
        <w:jc w:val="left"/>
        <w:rPr>
          <w:rFonts w:ascii="Times New Roman" w:hAnsi="Times New Roman"/>
          <w:sz w:val="20"/>
        </w:rPr>
      </w:pPr>
      <w:r>
        <w:rPr>
          <w:rFonts w:ascii="Times New Roman" w:hAnsi="Times New Roman"/>
          <w:sz w:val="20"/>
        </w:rPr>
        <w:t xml:space="preserve">(iii) Notwithstanding the foregoing, the Committee shall have full discretion to provide that, in connection with any such Sale Event, any amounts payable to Holders of Awards shall be (x) provided in the same proportion of cash and/or other property and/or rights as the consideration provided to other holders of the Company’s Shares and/or (y) provided proportionally at the same time and subject to same conditions (e.g., holdbacks, earnouts, escrow) as the consideration provided to other holders of the Company’s Shares. </w:t>
      </w:r>
    </w:p>
    <w:p>
      <w:pPr>
        <w:pStyle w:val="TextBody"/>
        <w:bidi w:val="0"/>
        <w:spacing w:before="36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ELIGIBILITY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Grantees under the Plan will be such full or part-time officers and other employees, directors, Consultants and key persons of the Company and any Subsidiary who are selected from time to time by the Committee in its sole discretion. </w:t>
      </w:r>
    </w:p>
    <w:p>
      <w:pPr>
        <w:pStyle w:val="TextBody"/>
        <w:bidi w:val="0"/>
        <w:spacing w:before="36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 xml:space="preserve">STOCK OPTIONS </w:t>
      </w:r>
    </w:p>
    <w:p>
      <w:pPr>
        <w:pStyle w:val="TextBody"/>
        <w:bidi w:val="0"/>
        <w:spacing w:before="120" w:after="0"/>
        <w:jc w:val="left"/>
        <w:rPr>
          <w:rFonts w:ascii="Times New Roman" w:hAnsi="Times New Roman"/>
          <w:sz w:val="20"/>
        </w:rPr>
      </w:pPr>
      <w:r>
        <w:rPr>
          <w:rFonts w:ascii="Times New Roman" w:hAnsi="Times New Roman"/>
          <w:sz w:val="20"/>
        </w:rPr>
        <w:t xml:space="preserve">Upon the grant of a Stock Option, the Company and the grantee shall enter into an Award Agreement. The terms and conditions of each such Award Agreement shall be determined by the Committee, and such terms and conditions may differ among individual Awards and grantees. </w:t>
      </w:r>
    </w:p>
    <w:p>
      <w:pPr>
        <w:pStyle w:val="TextBody"/>
        <w:bidi w:val="0"/>
        <w:spacing w:before="240" w:after="0"/>
        <w:jc w:val="left"/>
        <w:rPr>
          <w:rFonts w:ascii="Times New Roman" w:hAnsi="Times New Roman"/>
          <w:sz w:val="20"/>
        </w:rPr>
      </w:pPr>
      <w:r>
        <w:rPr>
          <w:rFonts w:ascii="Times New Roman" w:hAnsi="Times New Roman"/>
          <w:sz w:val="20"/>
        </w:rPr>
        <w:t xml:space="preserve">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Terms of Stock Options</w:t>
      </w:r>
      <w:r>
        <w:rPr>
          <w:rFonts w:ascii="Times New Roman" w:hAnsi="Times New Roman"/>
          <w:sz w:val="20"/>
        </w:rPr>
        <w:t xml:space="preserve">. The Committee in its discretion may grant Stock Options to those Persons who meet the eligibility requirements of Section 4. Stock Options shall be subject to the following terms and conditions and shall contain such additional terms and conditions, not inconsistent with the terms of the Plan, as the Committee shall deem desirable.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Exercise Price</w:t>
      </w:r>
      <w:r>
        <w:rPr>
          <w:rFonts w:ascii="Times New Roman" w:hAnsi="Times New Roman"/>
          <w:sz w:val="20"/>
        </w:rPr>
        <w:t xml:space="preserve">. Unless otherwise determined by the Committee, the exercise price per share for the Shares covered by a Stock Option shall be determined by the Committee at the time of grant but shall not be less than 100 percent of the Fair Market Value on the Grant Date, and in the case of an Incentive Stock Option that is granted to a Ten Percent Owner, the exercise price per share for the Shares covered by such Incentive Stock Option shall not be less than 110 percent of the Fair Market Value on the Grant Date.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Option Term</w:t>
      </w:r>
      <w:r>
        <w:rPr>
          <w:rFonts w:ascii="Times New Roman" w:hAnsi="Times New Roman"/>
          <w:sz w:val="20"/>
        </w:rPr>
        <w:t xml:space="preserve">. The term of each Stock Option shall be fixed by the Committee, but no Stock Option shall be exercisable more than ten years from the Grant Date. In the case of an Incentive Stock Option that is granted to a Ten Percent Owner, the term of such Stock Option shall be no more than five years from the Grant Date. </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Exercisability; Rights of a Shareholder</w:t>
      </w:r>
      <w:r>
        <w:rPr>
          <w:rFonts w:ascii="Times New Roman" w:hAnsi="Times New Roman"/>
          <w:sz w:val="20"/>
        </w:rPr>
        <w:t xml:space="preserve">. Stock Options shall become exercisable and/or vested at such time or times, whether or not in installments, as shall be determined by the Committee at or after the Grant Date. The Award Agreement may permit a grantee to exercise all or a portion of a Stock Option immediately at grant; provided that the Shares issued upon such exercise shall be subject to restrictions and a vesting schedule identical to the vesting schedule of the related Stock Option, such Shares shall be deemed to be Restricted Stock for purposes of the Plan, and the optionee may be required to enter into an additional or new Award Agreement as a condition to exercise of such Stock Option. An optionee shall have the rights of a shareholder only as to Shares acquired upon the exercise of a Stock Option and not as to unexercised Stock Options. An optionee shall not be deemed to have acquired any Shares unless and until a Stock Option shall have been exercised pursuant to the terms of the Award Agreement and this Plan and the optionee’s name has been entered in the register of members of the Company as a shareholder. </w:t>
      </w:r>
    </w:p>
    <w:p>
      <w:pPr>
        <w:pStyle w:val="TextBody"/>
        <w:bidi w:val="0"/>
        <w:spacing w:before="24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Method of Exercise</w:t>
      </w:r>
      <w:r>
        <w:rPr>
          <w:rFonts w:ascii="Times New Roman" w:hAnsi="Times New Roman"/>
          <w:sz w:val="20"/>
        </w:rPr>
        <w:t xml:space="preserve">. Stock Options may be exercised by an optionee in whole or in part, by the optionee giving written or electronic notice of exercise to the Company, specifying the number of Shares to be purchased. Payment of the purchase price may be made by one or more of the following methods (or any combination thereof) to the extent provided in the Award Agreement: </w:t>
      </w:r>
    </w:p>
    <w:p>
      <w:pPr>
        <w:pStyle w:val="TextBody"/>
        <w:bidi w:val="0"/>
        <w:spacing w:before="240" w:after="0"/>
        <w:jc w:val="left"/>
        <w:rPr>
          <w:rFonts w:ascii="Times New Roman" w:hAnsi="Times New Roman"/>
          <w:sz w:val="20"/>
        </w:rPr>
      </w:pPr>
      <w:r>
        <w:rPr>
          <w:rFonts w:ascii="Times New Roman" w:hAnsi="Times New Roman"/>
          <w:sz w:val="20"/>
        </w:rPr>
        <w:t xml:space="preserve">(A) In cash, by certified or bank check, by wire transfer of immediately available funds, or other instrument acceptable to the Committee; </w:t>
      </w:r>
    </w:p>
    <w:p>
      <w:pPr>
        <w:pStyle w:val="TextBody"/>
        <w:bidi w:val="0"/>
        <w:spacing w:before="240" w:after="0"/>
        <w:jc w:val="left"/>
        <w:rPr>
          <w:rFonts w:ascii="Times New Roman" w:hAnsi="Times New Roman"/>
          <w:sz w:val="20"/>
        </w:rPr>
      </w:pPr>
      <w:r>
        <w:rPr>
          <w:rFonts w:ascii="Times New Roman" w:hAnsi="Times New Roman"/>
          <w:sz w:val="20"/>
        </w:rPr>
        <w:t xml:space="preserve">(B) If permitted by the Committee, by the optionee delivering to the Company a promissory note, if the Board has expressly authorized the loan of funds to the optionee for the purpose of enabling or assisting the optionee to effect the exercise of his or her Stock Option; </w:t>
      </w:r>
      <w:r>
        <w:rPr>
          <w:rFonts w:ascii="Times New Roman" w:hAnsi="Times New Roman"/>
          <w:sz w:val="20"/>
          <w:u w:val="single"/>
        </w:rPr>
        <w:t>provided</w:t>
      </w:r>
      <w:r>
        <w:rPr>
          <w:rFonts w:ascii="Times New Roman" w:hAnsi="Times New Roman"/>
          <w:sz w:val="20"/>
        </w:rPr>
        <w:t xml:space="preserve">, that at least so much of the exercise price as represents the par value of the Shares shall be paid in cash if required by state law; </w:t>
      </w:r>
    </w:p>
    <w:p>
      <w:pPr>
        <w:pStyle w:val="TextBody"/>
        <w:bidi w:val="0"/>
        <w:spacing w:before="240" w:after="0"/>
        <w:jc w:val="left"/>
        <w:rPr>
          <w:rFonts w:ascii="Times New Roman" w:hAnsi="Times New Roman"/>
          <w:sz w:val="20"/>
        </w:rPr>
      </w:pPr>
      <w:r>
        <w:rPr>
          <w:rFonts w:ascii="Times New Roman" w:hAnsi="Times New Roman"/>
          <w:sz w:val="20"/>
        </w:rPr>
        <w:t xml:space="preserve">(C) If permitted by the Committee and the Initial Public Offering has occurred (or the Shares otherwise becomes publicly-traded), through the delivery (or attestation to the ownership) of Shares that have been purchased by the optionee on the open market or that are beneficially owned by the optionee and are not then subject to restrictions under any Company plan. To the extent required to avoid variable accounting treatment under ASC 718 or other applicable accounting rules, such surrendered Shares if originally purchased from the Company shall have been owned by the optionee for at least six months. Such surrendered Shares shall be valued at Fair Market Value on the exercise date; </w:t>
      </w:r>
    </w:p>
    <w:p>
      <w:pPr>
        <w:pStyle w:val="TextBody"/>
        <w:bidi w:val="0"/>
        <w:spacing w:before="240" w:after="0"/>
        <w:jc w:val="left"/>
        <w:rPr>
          <w:rFonts w:ascii="Times New Roman" w:hAnsi="Times New Roman"/>
          <w:sz w:val="20"/>
        </w:rPr>
      </w:pPr>
      <w:r>
        <w:rPr>
          <w:rFonts w:ascii="Times New Roman" w:hAnsi="Times New Roman"/>
          <w:sz w:val="20"/>
        </w:rPr>
        <w:t xml:space="preserve">(D) If permitted by the Committee and the Initial Public Offering has occurred (or the Shares otherwise becomes publicly-traded), 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w:t>
      </w:r>
      <w:r>
        <w:rPr>
          <w:rFonts w:ascii="Times New Roman" w:hAnsi="Times New Roman"/>
          <w:sz w:val="20"/>
          <w:u w:val="single"/>
        </w:rPr>
        <w:t>provided</w:t>
      </w:r>
      <w:r>
        <w:rPr>
          <w:rFonts w:ascii="Times New Roman" w:hAnsi="Times New Roman"/>
          <w:sz w:val="20"/>
        </w:rPr>
        <w:t xml:space="preserve">, the optionee and the broker shall comply with such procedures and enter into such agreements of indemnity and other agreements as the Committee shall prescribe as a condition of such payment procedure; or </w:t>
      </w:r>
    </w:p>
    <w:p>
      <w:pPr>
        <w:pStyle w:val="TextBody"/>
        <w:bidi w:val="0"/>
        <w:spacing w:before="240" w:after="0"/>
        <w:jc w:val="left"/>
        <w:rPr>
          <w:rFonts w:ascii="Times New Roman" w:hAnsi="Times New Roman"/>
          <w:sz w:val="20"/>
        </w:rPr>
      </w:pPr>
      <w:r>
        <w:rPr>
          <w:rFonts w:ascii="Times New Roman" w:hAnsi="Times New Roman"/>
          <w:sz w:val="20"/>
        </w:rPr>
        <w:t xml:space="preserve">(E) If permitted by the Committee, and only with respect to Stock Options that are not Incentive Stock Options, by a “net exercise” arrangement pursuant to which the Company will reduce the number of Shares issuable upon exercise by the largest whole number of Shares with a Fair Market Value that does not exceed the aggregate exercise price. </w:t>
      </w:r>
    </w:p>
    <w:p>
      <w:pPr>
        <w:pStyle w:val="TextBody"/>
        <w:bidi w:val="0"/>
        <w:spacing w:before="240" w:after="0"/>
        <w:jc w:val="left"/>
        <w:rPr>
          <w:rFonts w:ascii="Times New Roman" w:hAnsi="Times New Roman"/>
          <w:sz w:val="20"/>
        </w:rPr>
      </w:pPr>
      <w:r>
        <w:rPr>
          <w:rFonts w:ascii="Times New Roman" w:hAnsi="Times New Roman"/>
          <w:sz w:val="20"/>
        </w:rPr>
        <w:t xml:space="preserve">Payment instruments will be received subject to collection. No certificates for Shares so purchased will be issued to the optionee or, with respect to uncertificated Shares, no transfer to the optionee on the records of the Company will take place, until the Company has completed all steps it has deemed necessary to satisfy legal requirements relating to the issuance and sale of the Shares, which steps may include, without limitation, (i) receipt of a representation from the optionee at the time of exercise of the Option that the optionee is purchasing the Shares for the optionee’s own account and not with a view to any sale or distribution of the Shares or other representations relating to compliance with applicable law governing the issuance of securities, (ii) the legending of the certificate (or notation on any book entry) representing the Shares to evidence the foregoing restrictions, and (iii) obtaining from optionee payment or provision for all withholding taxes due as a result of the exercise of the Option. The delivery 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certificates representing the Shares (or the transfer to the optionee on the records of the Company with respect to uncertificated Shares) to be purchased pursuant to the exercise of a Stock Option will be contingent upon (A) receipt from the optionee (or a purchaser acting in his or her stead in accordance with the provisions of the Stock Option) by the Company of the full purchase price for such Shares and the fulfillment of any other requirements contained in the Award Agreement or applicable provisions of laws and (B) if required by the Company, the optionee shall have entered into any shareholders agreements or other agreements with the Company and/or certain other of the Company’s shareholders relating to the Shares. In the event an optionee chooses to pay the purchase price by previously-owned Shares through the attestation method, the number of Shares transferred to the optionee upon the exercise of the Stock Option shall be net of the number of Shares attested to.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Annual Limit on Incentive Stock Options</w:t>
      </w:r>
      <w:r>
        <w:rPr>
          <w:rFonts w:ascii="Times New Roman" w:hAnsi="Times New Roman"/>
          <w:sz w:val="20"/>
        </w:rPr>
        <w:t xml:space="preserve">. To the extent required for “incentive stock option” treatment under Section 422 of the Code, the aggregate Fair Market Value (determined as of the Grant Date) of the Shares with respect to which Incentive Stock Options granted under the Plan and any other plan of the Company or its parent and any Subsidiary that become exercisable for the first time by an optionee during any calendar year shall not exceed one hundred thousand US dollars ($100,000 US dollars) or such other limit as may be in effect from time to time under Section 422 of the Code. To the extent that any Stock Option exceeds this limit, it shall constitute a Non-Qualified Stock Option.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Termination</w:t>
      </w:r>
      <w:r>
        <w:rPr>
          <w:rFonts w:ascii="Times New Roman" w:hAnsi="Times New Roman"/>
          <w:sz w:val="20"/>
        </w:rPr>
        <w:t xml:space="preserve">. Any portion of a Stock Option that is not vested and exercisable on the date of termination of an optionee’s Service Relationship shall immediately expire and be null and void. Unless otherwise set forth in the applicable Award Agreement, once any portion of the Stock Option becomes vested and exercisable, the optionee’s right to exercise such portion of the Stock Option (or the optionee’s representatives and legatees as applicable) in the event of a termination of the optionee’s Service Relationship shall continue until the earliest of: (i) the date which is: (A) twelve (12) months following the date on which the optionee’s Service Relationship terminates due to death or Disability (or such longer period of time as determined by the Committee and set forth in the applicable Award Agreement), or (B) three (3) months following the date on which the optionee’s Service Relationship terminates if the termination is due to any reason other than death or Disability (or such longer period of time as determined by the Committee and set forth in the applicable Award Agreement), or (ii) the Expiration Date set forth in the Award Agreement; </w:t>
      </w:r>
      <w:r>
        <w:rPr>
          <w:rFonts w:ascii="Times New Roman" w:hAnsi="Times New Roman"/>
          <w:sz w:val="20"/>
          <w:u w:val="single"/>
        </w:rPr>
        <w:t>provided</w:t>
      </w:r>
      <w:r>
        <w:rPr>
          <w:rFonts w:ascii="Times New Roman" w:hAnsi="Times New Roman"/>
          <w:sz w:val="20"/>
        </w:rPr>
        <w:t xml:space="preserve"> that notwithstanding the foregoing, an Award Agreement may provide that if the optionee’s Service Relationship is terminated for Cause, the Stock Option shall terminate immediately and be null and void upon the date of the optionee’s termination and shall not thereafter be exercisable. </w:t>
      </w:r>
    </w:p>
    <w:p>
      <w:pPr>
        <w:pStyle w:val="TextBody"/>
        <w:bidi w:val="0"/>
        <w:spacing w:before="36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RESTRICTED STOCK AWARDS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Nature of Restricted Stock Awards</w:t>
      </w:r>
      <w:r>
        <w:rPr>
          <w:rFonts w:ascii="Times New Roman" w:hAnsi="Times New Roman"/>
          <w:sz w:val="20"/>
        </w:rPr>
        <w:t xml:space="preserve">. The Committee may, in its sole discretion, grant (or sell at par value or such other purchase price determined by the Committee) to an eligible individual under Section 4 hereof a Restricted Stock Award under the Plan. The Committee shall determine the restrictions and conditions applicable to each Restricted Stock Award at the time of grant. Conditions may be based on continuing employment (or other Service Relationship), achievement of pre-established performance goals and objectives and/or such other criteria as the Committee may determine. Upon the grant of a Restricted Stock Award, the Company and the grantee shall enter into an Award Agreement. The terms and conditions of each such Award Agreement shall be determined by the Committee, and such terms and conditions may differ among individual Awards and grantees.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Rights as a Shareholder</w:t>
      </w:r>
      <w:r>
        <w:rPr>
          <w:rFonts w:ascii="Times New Roman" w:hAnsi="Times New Roman"/>
          <w:sz w:val="20"/>
        </w:rPr>
        <w:t xml:space="preserve">. Upon the grant of the Restricted Stock Award and payment of any applicable purchase price, a grantee of Restricted Stock shall be considered the record owner of and shall be entitled to vote the Restricted Stock if, and to the extent, such Shares are entitled to voting rights, subject to such conditions contained in the Award Agreement. The grantee shall be entitled to receive all dividends and any other distributions declared on the Shares;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is under no duty to declare any such dividends or to make any such distribution. Unless the Committee shall otherwise determine, certificates evidencing the Restricted Stock shall remain in the possession of the Company until such Restricted Shares are vested as provided in subsection (d) below of this Section, and the grantee shall be required, as a condition of the grant, to deliver to the Company an instrument of transfer executed in blank and such other instruments of transfer as the Committee may prescribe.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Restrictions</w:t>
      </w:r>
      <w:r>
        <w:rPr>
          <w:rFonts w:ascii="Times New Roman" w:hAnsi="Times New Roman"/>
          <w:sz w:val="20"/>
        </w:rPr>
        <w:t xml:space="preserve">. Restricted Stock may not be sold, assigned, transferred, pledged or otherwise encumbered or disposed of except as specifically provided herein or in the Award Agreement. Except as may otherwise be provided by the Committee either in the Award Agreement or, subject to Section 13 below, in writing after the Award Agreement is issued, if a grantee’s Service Relationship with the Company and any Subsidiary terminates, the Company or its assigns shall have the right, as may be specified in the relevant instrument, to repurchase some or all of the Shares subject to the Award at such purchase price as is set forth in the Award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Vesting of Restricted Stock</w:t>
      </w:r>
      <w:r>
        <w:rPr>
          <w:rFonts w:ascii="Times New Roman" w:hAnsi="Times New Roman"/>
          <w:sz w:val="20"/>
        </w:rPr>
        <w:t xml:space="preserve">. The Committee at the time of grant shall specify in the Award Agreement the date or dates and/or the attainment of pre-established performance goals, objectives and other conditions on which the substantial risk of forfeiture imposed shall lapse and the Restricted Stock shall become vested, subject to such further rights of the Company or its assigns as may be specified in the Award Agreement. </w:t>
      </w:r>
    </w:p>
    <w:p>
      <w:pPr>
        <w:pStyle w:val="TextBody"/>
        <w:bidi w:val="0"/>
        <w:spacing w:before="36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UNRESTRICTED STOCK AWARDS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Committee may, in its sole discretion, grant (or sell at par value or such other purchase price determined by the Committee) to an eligible person under Section 4 hereof an Unrestricted Stock Award under the Plan. Unrestricted Stock Awards may be granted in respect of past services or other valid consideration, or in lieu of cash compensation due to such grantee. </w:t>
      </w:r>
    </w:p>
    <w:p>
      <w:pPr>
        <w:pStyle w:val="TextBody"/>
        <w:bidi w:val="0"/>
        <w:spacing w:before="36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RESTRICTED STOCK UNITS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Nature of Restricted Stock Units</w:t>
      </w:r>
      <w:r>
        <w:rPr>
          <w:rFonts w:ascii="Times New Roman" w:hAnsi="Times New Roman"/>
          <w:sz w:val="20"/>
        </w:rPr>
        <w:t xml:space="preserve">. The Committee may, in its sole discretion, grant to an eligible person under Section 4 hereof Restricted Stock Units under the Plan. The Committee shall determine the restrictions and conditions applicable to each Restricted Stock Unit at the time of grant. Vesting conditions may be based on continuing employment (or other Service Relationship), achievement of pre-established performance goals and objectives and/or other such criteria as the Committee may determine. Upon the grant of Restricted Stock Units, the grantee and the Company shall enter into an Award Agreement. The terms and conditions of each such Award Agreement shall be determined by the Committee and may differ among individual Awards and grantees. On or promptly following the vesting date or dates applicable to any Restricted Stock Unit, but in no event later than March 15 of the year following the year in which such vesting occurs, such Restricted Stock Unit(s) shall be settled in the form of cash or Shares, as specified in the Award Agreement. Restricted Stock Units may not be sold, assigned, transferred, pledged, or otherwise encumbered or disposed of.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Rights as a Shareholder</w:t>
      </w:r>
      <w:r>
        <w:rPr>
          <w:rFonts w:ascii="Times New Roman" w:hAnsi="Times New Roman"/>
          <w:sz w:val="20"/>
        </w:rPr>
        <w:t xml:space="preserve">. A grantee shall have the rights of a shareholder only as to Shares, if any, acquired upon settlement of Restricted Stock Units. A grantee shall not be deemed to have acquired any such Shares unless and until the Restricted Stock Units shall have been settled in Shares pursuant to the terms of the Plan and the Award Agreement, the Company shall have issued and delivered a certificate representing the Shares to the grantee (or transferred on the records of the Company with respect to uncertificated shares), and the grantee’s name has been entered in the register of members of the Company as a shareholder.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Termination</w:t>
      </w:r>
      <w:r>
        <w:rPr>
          <w:rFonts w:ascii="Times New Roman" w:hAnsi="Times New Roman"/>
          <w:sz w:val="20"/>
        </w:rPr>
        <w:t xml:space="preserve">. Except as may otherwise be provided by the Committee either in the Award Agreement or in writing after the Award Agreement is issued, a grantee’s right in all Restricted Stock Units that have not vested shall automatically terminate upon the grantee’s cessation of Service Relationship with the Company and any Subsidiary for any reason. </w:t>
      </w:r>
    </w:p>
    <w:p>
      <w:pPr>
        <w:pStyle w:val="TextBody"/>
        <w:bidi w:val="0"/>
        <w:spacing w:before="24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TRANSFER RESTRICTIONS; COMPANY RIGHT OF FIRST REFUSAL; COMPANY REPURCHASE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Restrictions on Transfer.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Non-Transferability of Stock Options</w:t>
      </w:r>
      <w:r>
        <w:rPr>
          <w:rFonts w:ascii="Times New Roman" w:hAnsi="Times New Roman"/>
          <w:sz w:val="20"/>
        </w:rPr>
        <w:t xml:space="preserve">. Stock Options and, prior to exercise, the Shares issuable upon exercise of such Stock Option, shall not be transferable by the optionee otherwise than by will, or by the laws of descent and distribution, and all Stock Options shall be exercisable, during the optionee’s lifetime, only by the optionee, or by the optionee’s legal representative or guardian in the event of the optionee’s incapacity. Notwithstanding the foregoing, the Committee, in its sole discretion, may provide in the Award Agreement regarding a given Stock Option that the optionee may transfer by gift, without consideration for the transfer, his or her Non-Qualified Stock Options to his or her family members (as defined in Rule 701 of the Securities Act), to trusts for the benefit of such family members, or to partnerships in which such family members are the only partners (to the extent such trusts or partnerships are considered “family members” for purposes of Rule 701 of the Securities Act), provided that the transferee agrees in writing with the Company to be bound by all of the terms and conditions of this Plan and the applicable Award Agreement, including the execution of a stock power upon the issuance of Shares. Stock Options, and the Shares issuable upon exercise of such Stock Options, shall be restricted as to any pledge, hypothecation, or other transfer, including any short position, any “put equivalent position” (as defined in the Exchange Act) or any “call equivalent position” (as defined in the Exchange Act) prior to exercise.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Shares</w:t>
      </w:r>
      <w:r>
        <w:rPr>
          <w:rFonts w:ascii="Times New Roman" w:hAnsi="Times New Roman"/>
          <w:sz w:val="20"/>
        </w:rPr>
        <w:t xml:space="preserve">. No Shares shall be sold, assigned, transferred, pledged, hypothecated, given away or in any other manner disposed of or encumbered, whether voluntarily or by operation of law, unless (i) the transfer is in compliance with the terms of the applicable Award Agreement, all applicable securities laws (including, without limitation, the Securities Act), and with the terms and conditions of this Section 9, (ii) the transfer does not cause the Company to become subject to the reporting requirements of the Exchange Act, and (iii) the transferee consents in writing to be bound by the provisions of the Plan and the Award Agreement, including this Section 9. In connection with any proposed transfer, the Committee may require the transferor to provide at the transferor’s own expense an opinion of counsel to the transferor, satisfactory to the Committee, that such transfer is in compliance with all foreign, federal and state securities laws (including, without limitation, the Securities Act). Any attempted transfer of Shares not in accordance with the terms and conditions of this Section 9 shall be null and void, and the Company shall not reflect on its records any change in record ownership of any Shares as a result of any such transfer, shall otherwise refuse to recognize any such transfer and shall not in any way give effect to any such transfer of Shares. The Company shall be entitled to seek protective orders, injunctive relief and other remedies available at law or in equity including, without limitation, seeking specific performance or the rescission of any transfer not made in strict compliance with the provisions of this Section 9. Subject to the foregoing general provisions, and unless otherwise provided in the applicable Award Agreement, Shares may be transferred pursuant to the following specific terms and conditions (provided that with respect to any transfer of Restricted Stock, all vesting and forfeiture provisions shall continue to apply with respect to the original recipient):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Transfers to Permitted Transferees</w:t>
      </w:r>
      <w:r>
        <w:rPr>
          <w:rFonts w:ascii="Times New Roman" w:hAnsi="Times New Roman"/>
          <w:sz w:val="20"/>
        </w:rPr>
        <w:t xml:space="preserve">. The Holder may transfer any or all of the Shares to one or more Permitted Transferees; provided, however, that following such transfer, such Shares shall continue to be subject to the terms of this Plan (including this Section 9) and such Permitted Transferee(s) shall, as a condition to any such transfer, deliver a written acknowledgment to that effect to the Company and shall deliver a stock power to the Company with respect to the Shares. Notwithstanding the foregoing, the Holder may not transfer any of the Shares to a Person whom the Company reasonably determines is a direct competitor or a potential competitor of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Transfers Upon Death</w:t>
      </w:r>
      <w:r>
        <w:rPr>
          <w:rFonts w:ascii="Times New Roman" w:hAnsi="Times New Roman"/>
          <w:sz w:val="20"/>
        </w:rPr>
        <w:t xml:space="preserve">. Upon the death of the Holder, any Shares then held by the Holder at the time of such death and any Shares acquired after the Holder’s death by the Holder’s legal representative shall be subject to the provisions of this Plan, and the Holder’s estate, executors, administrators, personal representatives, heirs, legatees and distributees shall be obligated to convey such Shares to the Company or its assigns under the terms contemplated by the Plan and the Award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Right of First Refusal</w:t>
      </w:r>
      <w:r>
        <w:rPr>
          <w:rFonts w:ascii="Times New Roman" w:hAnsi="Times New Roman"/>
          <w:sz w:val="20"/>
        </w:rPr>
        <w:t xml:space="preserve">. In the event that a Holder desires at any time to sell or otherwise transfer all or any part of his or her Shares (other than shares of Restricted Stock which by their terms are not transferrable), the Holder first shall give written notice to the Company of the Holder’s intention to make such transfer. Such notice shall state the number of Shares that the Holder proposes to sell (the “Offered Shares”), the price and the terms at which the proposed sale is to be made and the name and address of the proposed transferee. At any time within 30 days after the receipt of such notice by the Company, the Company or its assigns may elect to purchase all or any portion of the Offered Shares at the price and on the terms offered by the proposed transferee and specified in the notice. The Company or its assigns shall exercise this right by mailing or delivering written notice to the Holder within the foregoing thirty (30) day period. If the Company or its assigns elect to exercise its purchase rights under this Section 9(b), the closing for such purchase shall, in any event, take place within 45 days after the receipt by the Company of the initial notice from the Holder. In the event that the Company or its assigns do not elect to exercise such purchase right, or in the event that the Company or its assigns do not pay the full purchase price within such forty-five day (45) day period, the Holder shall be required to pay a transaction processing fee of ten thousand US dollars ($10,000 US dollars) to the Company (unless waived by the Committee) and then may, within 60 days thereafter, sell the Offered Shares to the proposed transferee and at the same price and on the same terms as specified in the Holder’s notice. Any Shares not sold to the proposed transferee shall remain subject to the Plan. If the Holder is a party to any shareholders agreements or other agreements with the Company and/or certain other of the Company’s shareholders relating to the Shares, (i) the transferring Holder shall comply with the requirements of such shareholders agreements or other agreements relating to any proposed transfer of the Offered Shares, and (ii) any proposed transferee that purchases Offered Shares shall enter into such shareholders agreements or other agreements with the Company and/or certain of the Company’s shareholders relating to the Offered Shares on the same terms and in the same capacity as the transferring Holder.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Company’s Right of Repurchase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Upon a Covenant Breach or a Termination Event for any reason (each, a </w:t>
      </w:r>
      <w:r>
        <w:rPr>
          <w:rFonts w:ascii="Times New Roman" w:hAnsi="Times New Roman"/>
          <w:sz w:val="20"/>
          <w:u w:val="single"/>
        </w:rPr>
        <w:t>Repurchase Event</w:t>
      </w:r>
      <w:r>
        <w:rPr>
          <w:rFonts w:ascii="Times New Roman" w:hAnsi="Times New Roman"/>
          <w:sz w:val="20"/>
        </w:rPr>
        <w:t xml:space="preserve">”), the Company shall have the right, but not the obligation, to repurchase any portion of the Shares then held by the Holder pursuant to the terms and conditions set forth in this Section 9(c).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Repurchase Price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Unvested Shares</w:t>
      </w:r>
      <w:r>
        <w:rPr>
          <w:rFonts w:ascii="Times New Roman" w:hAnsi="Times New Roman"/>
          <w:sz w:val="20"/>
        </w:rPr>
        <w:t xml:space="preserve">. With respect to any Shares that are unvested at the time of the Repurchase Event, the repurchase price per Share shall be equal to the lesser of (i) the Original Cost or (ii) the Fair Market Value (as of the date of the Repurchase Notice (defined below)); </w:t>
      </w:r>
      <w:r>
        <w:rPr>
          <w:rFonts w:ascii="Times New Roman" w:hAnsi="Times New Roman"/>
          <w:sz w:val="20"/>
          <w:u w:val="single"/>
        </w:rPr>
        <w:t>provided</w:t>
      </w:r>
      <w:r>
        <w:rPr>
          <w:rFonts w:ascii="Times New Roman" w:hAnsi="Times New Roman"/>
          <w:sz w:val="20"/>
        </w:rPr>
        <w:t xml:space="preserve">, that if the Original Cost of the Shares was $0 (including any Options that were cashlessly exercised), then notwithstanding anything contained herein, such Shares shall be automatically forfeited for no consideration upon the Repurchase Event.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Vested Shares</w:t>
      </w:r>
      <w:r>
        <w:rPr>
          <w:rFonts w:ascii="Times New Roman" w:hAnsi="Times New Roman"/>
          <w:sz w:val="20"/>
        </w:rPr>
        <w:t xml:space="preserve">. With respect to any Shares that are vested at the time of the Repurchase Event, the repurchase price per Share shall be equal to the Fair Market Value (as of the date of the Repurchase Notice); </w:t>
      </w:r>
      <w:r>
        <w:rPr>
          <w:rFonts w:ascii="Times New Roman" w:hAnsi="Times New Roman"/>
          <w:sz w:val="20"/>
          <w:u w:val="single"/>
        </w:rPr>
        <w:t>provided</w:t>
      </w:r>
      <w:r>
        <w:rPr>
          <w:rFonts w:ascii="Times New Roman" w:hAnsi="Times New Roman"/>
          <w:sz w:val="20"/>
        </w:rPr>
        <w:t xml:space="preserve">, that in the event the Repurchase Event was a Covenant Breach or a Termination Event for Cause, the repurchase price for such vested Shares shall be set in accordance with subsection (A) above;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a Covenant Breach occurs following a repurchase of any Shares in accordance with the repurchase price set forth in this subsection (B), the Holder shall immediately repay the Company for the excess between the amount actually received for such Shares minus the amount that would have been paid for such Shares in the repurchase price had been set in accordance with subsection (A) above. </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Procedure</w:t>
      </w:r>
      <w:r>
        <w:rPr>
          <w:rFonts w:ascii="Times New Roman" w:hAnsi="Times New Roman"/>
          <w:sz w:val="20"/>
        </w:rPr>
        <w:t>. Any repurchase right of the Company shall be exercised by the Company or its assigns by giving the Holder written notice (“</w:t>
      </w:r>
      <w:r>
        <w:rPr>
          <w:rFonts w:ascii="Times New Roman" w:hAnsi="Times New Roman"/>
          <w:sz w:val="20"/>
          <w:u w:val="single"/>
        </w:rPr>
        <w:t>Repurchase Notice</w:t>
      </w:r>
      <w:r>
        <w:rPr>
          <w:rFonts w:ascii="Times New Roman" w:hAnsi="Times New Roman"/>
          <w:sz w:val="20"/>
        </w:rPr>
        <w:t xml:space="preserve">”) no later than one hundred eighty 180 days after the later of (i) the Repurchase Event and (ii) the one hundred eighty first ( 181st) day following the acquisition of the Shares subject to such repurchase. The closing of the repurchase described herein shall occur as soon as reasonably practicable, and in any event not later than thirty (30) days after delivery of the applicable Repurchase Notice (provided, that such time shall be extended as necessary to comply with the requirements of the Hart-Scott-Rodino Antitrust Improvement Act of 1976, as amended, or other applicable legal requirements), at the principal office of the Company, or at such other time and location as the parties to such purchase may mutually determine, subject, however, to Holder’s execution of any documentation as may be reasonably requested by the Company. The Company will pay for the Shares by it first by offsetting amounts outstanding under any bona fide debts, if any, owed by such Holder to the Company or any of its Subsidiaries, now existing or hereinafter arising, and will pay the remainder of the repurchase price by, at its option, (i) wire transfer of immediately available funds, (ii) delivery of a check payable to the Holder of such Shares, (iii) a promissory note payable upon a Sale Event and bearing interest at the applicable federal rate, or (iv) any combination of (i), (ii) and (iii), in the aggregate amount of the repurchase price for such Shares. Notwithstanding anything to the contrary contained herein, all repurchases of Shares by the Company will be subject to applicable restrictions contained in the corporation law of the Company’s jurisdiction of incorporation and in the Company’s and its Subsidiaries’ debt and equity financing agreements. If any such restrictions prohibit the repurchase of Shares hereunder which the Company is otherwise entitled to make, the Company may make such repurchases as soon as it is permitted to do so under such restrictions. </w:t>
      </w:r>
    </w:p>
    <w:p>
      <w:pPr>
        <w:pStyle w:val="TextBody"/>
        <w:bidi w:val="0"/>
        <w:spacing w:before="24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Termination of Repurchase</w:t>
      </w:r>
      <w:r>
        <w:rPr>
          <w:rFonts w:ascii="Times New Roman" w:hAnsi="Times New Roman"/>
          <w:sz w:val="20"/>
        </w:rPr>
        <w:t xml:space="preserve">. The Company’s repurchase rights described herein shall terminate upon the first to occur between a Sale Event and an Initial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Drag Along Right</w:t>
      </w:r>
      <w:r>
        <w:rPr>
          <w:rFonts w:ascii="Times New Roman" w:hAnsi="Times New Roman"/>
          <w:sz w:val="20"/>
        </w:rPr>
        <w:t xml:space="preserve">. In the event the holders of a majority of the Company’s equity securities then outstanding (the “Majority Shareholders”) determine to enter into a Sale Event in a bona fide negotiated transaction (a “Sale”), with any non-Affiliate of the Company or any majority shareholder (in each case, the “Buyer”), a Holder of Shares, including any Permitted Transferee, shall be obligated to and shall upon the written request of the Majority Shareholders: (a) sell, transfer and deliver, or cause to be sold, transferred and delivered, to the Buyer, his or her Shares (including for this purpose all of such Holder’s Shares that presently or as a result of any such transaction may be acquired upon the exercise of an Option (following the payment of the exercise price therefor)) on substantially the same terms applicable to the Majority Shareholders (with appropriate adjustments to reflect the conversion of convertible securities, the redemption of redeemable securities and the exercise of exercisable securities as well as the relative preferences and priorities of preferred shares); and (b) execute and deliver such instruments of conveyance and transfer and take such other action, including voting such Shares in favor of any Sale proposed by the Majority Shareholders and executing any purchase agreements, merger agreements, indemnity agreements, escrow agreements or related documents as the Majority Shareholders or the Buyer may reasonably require in order to carry out the terms and provisions of this Section 9(d).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Escrow Arrangement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Escrow</w:t>
      </w:r>
      <w:r>
        <w:rPr>
          <w:rFonts w:ascii="Times New Roman" w:hAnsi="Times New Roman"/>
          <w:sz w:val="20"/>
        </w:rPr>
        <w:t xml:space="preserve">. In order to carry out the provisions of this Section 9 of this Plan more effectively, the Company shall hold any Shares issued pursuant to Awards granted under the Plan in escrow together with separate stock powers executed by the Holder in blank for transfer. The Company shall not dispose of the Shares except as otherwise provided in this Plan. In the event of any repurchase by the Company (or any of its assigns), the Company is hereby authorized by the Holder, as the Holder’s attorney-in-fact, to date and complete the stock powers necessary for the transfer of the Shares being purchased and to transfer such Shares in accordance with the terms hereof. At such time as any Shares are no longer subject to the Company’s repurchase and first refusal rights, the Company shall, at the written request of the Holder, deliver to the Holder a certificate representing such Shares with the balance of the Shares to be held in escrow pursuant to this Section.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Remedy</w:t>
      </w:r>
      <w:r>
        <w:rPr>
          <w:rFonts w:ascii="Times New Roman" w:hAnsi="Times New Roman"/>
          <w:sz w:val="20"/>
        </w:rPr>
        <w:t xml:space="preserve">. Without limitation of any other provision of this Plan or other rights, in the event that a Holder or any other Person is required to sell a Holder’s Shares pursuant to the provisions of Sections 9(b) or (c) hereof and in the further event that he or she refuses or for any reason fails to deliver to the Company or its designated purchaser of such Shares the certificate or certificates evidencing such Shares together with a related stock power, the Company or such designated purchaser may deposit the applicable purchase price for such Shares with a bank designated by the Company, or with the Company’s independent public accounting firm, as agent or trustee, or in escrow, for such Holder or other Person, to be held by such bank or accounting firm for the benefit of and for delivery to him, her, them or it, and/or, in its discretion, pay such purchase price by offsetting any indebtedness then owed by such Holder as provided above. Upon any such deposit and/or offset by the Company or its designated purchaser of such amount and upon notice to the Person who was required to sell the Shares to be sold pursuant to the provisions of Sections 9(b) or (c), such Shares shall at such time be deemed to have been sold, assigned, transferred and conveyed to such purchaser, such Holder shall have no further rights thereto (other than the right to withdraw the payment thereof held in escrow, if applicable), and the Company shall record such transfer in its stock transfer book or in any appropriate manner.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Lockup Provision</w:t>
      </w:r>
      <w:r>
        <w:rPr>
          <w:rFonts w:ascii="Times New Roman" w:hAnsi="Times New Roman"/>
          <w:sz w:val="20"/>
        </w:rPr>
        <w:t xml:space="preserve">. If requested by the Company, a Holder shall not sell or otherwise transfer or dispose of any Shares (including, without limitation, pursuant to Rule 144 under the Securities Act) held by him or her for such period following the effective date of a public offering by the Company of Shares as the Company shall specify reasonably and in good faith. If requested by the underwriter engaged by the Company, each Holder shall execute a separate letter confirming his or her agreement to comply with this Section.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Adjustments for Changes in Capital Structure</w:t>
      </w:r>
      <w:r>
        <w:rPr>
          <w:rFonts w:ascii="Times New Roman" w:hAnsi="Times New Roman"/>
          <w:sz w:val="20"/>
        </w:rPr>
        <w:t xml:space="preserve">. If, as a result of any reorganization, recapitalization, reclassification, share dividend, share split, reverse share split or other similar change in the Shares, the outstanding Shares are increased or decreased or are exchanged for a different number or kind of securities of the Company, the restrictions contained in this Section 9 shall apply with equal force to additional and/or substitute securities, if any, received by Holder in exchange for, or by virtue of his or her ownership of, Shares.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Termination</w:t>
      </w:r>
      <w:r>
        <w:rPr>
          <w:rFonts w:ascii="Times New Roman" w:hAnsi="Times New Roman"/>
          <w:sz w:val="20"/>
        </w:rPr>
        <w:t xml:space="preserve">. The terms and provisions of Section 9(b) shall terminate upon the closing of the Company’s Initial Public Offering or upon consummation of any Sale Event, in either case as a result of which Shares are registered under Section 12 of the Exchange Act and publicly-traded on any national security exchange. </w:t>
      </w:r>
    </w:p>
    <w:p>
      <w:pPr>
        <w:pStyle w:val="TextBody"/>
        <w:bidi w:val="0"/>
        <w:spacing w:before="36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RESTRICTIVE COVENANTS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Upon receipt of any Award, each Holder shall be deemed to have agreed to be bound by this Section 10.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Confidentiality</w:t>
      </w:r>
      <w:r>
        <w:rPr>
          <w:rFonts w:ascii="Times New Roman" w:hAnsi="Times New Roman"/>
          <w:sz w:val="20"/>
        </w:rPr>
        <w:t xml:space="preserve">. Holder shall not, for any purpose whatsoever, other than to the extent necessary to render services to the Company or its Subsidiaries in good faith, required by law, or with the express prior written consent of the Company, use, disclose, or divulge to a third party or use for Holder’s personal benefit or for the benefit of a third party, at any time, either during Holder’s employment or services with the Company or its Subsidiaries or thereafter, any Confidential Information of which Holder is or becomes aware, whether or not such information is developed by Holder. Holder will treat all Confidential Information as confidential and take all reasonable and appropriate steps to safeguard all Confidential Information and to protect it against disclosure, misuse, espionage, loss and theft. Holder shall deliver to the Company at Holder’s date of termination, or at any other time the Company may request, all memoranda, notes, agreements, client lists, plans, records, reports, computer tapes and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software and other documents and data (and all copies or reproductions thereof) relating to the Confidential Information, Work Product or the business of the Company or any of its Subsidiaries which Holder may then possess or have under Holder’s control. As used herein, the term “Confidential Information” means information that is not generally known to the public and that is used, developed or obtained by the Company or its Subsidiaries in connection with their business, including but not limited to (i) information, observations and data obtained by Holder while employed by or providing services to the Company or its Subsidiaries concerning the business or affairs of the Company or its Subsidiaries, (ii) products or services, (iii) fees, costs and pricing structures, (iv) designs, (v) analyses, (vi) drawings, photographs and reports, (vii) computer software (including source code, executable code, algorithms, pseudocode, firmware, interfaces, data, databases, and documentation), including operating systems, applications and program listings or any portions or logic comprising said software, (viii) flow charts, manuals and documentation, (ix) data bases, (x) accounting and business methods, (xi) inventions, devices, new developments, methods and processes, whether patentable or unpatentable and whether or not reduced to practice, (xii) customers and clients and customer or client lists and terms of contracts with clients and customers (xiii) other copyrightable works, (xiv) all production, programming, manufacturing, engineering, and distribution processes or techniques, technology and trade secrets, and (xv) all similar and related information in whatever form or medium. Notwithstanding the foregoing, the term “Confidential Information” shall not include any information that Holder can demonstrate by written proof was generally available to the public at the time it was disclosed to such Holder or subsequently becomes in the public domain other than as a result of a disclosure by such Holder in violation of this Section 10, provided that Confidential Information will not be deemed to have been generally available merely because individual portions of the information have been separately published or otherwise made generally available to the public, but only if all material features comprising such information have been made generally available to the public in combination. The covenants made in this Section 10(a) shall continue perpetually, including after Holder’s Termination Event. Pursuant to 18 U.S.C. § 1833(b), however, the Holder will not be held criminally or civilly liable under any Federal or State trade secret law for the disclosure of a trade secret of the Company or its Affiliates that—(i) is made—(A) in confidence to a Federal, State, or local government official, either directly or indirectly, or to the Holder’s attorney and (B) solely for the purpose of reporting or investigating a suspected violation of law; or (ii) is made in a complaint or other document that is filed under seal in a lawsuit or other proceeding. If the Holder files a lawsuit for retaliation by the Company for reporting a suspected violation of law, the Holder may disclose the trade secret to the Holder’s attorney and use the trade secret information in the court proceeding, if the Holder files any document containing the trade secret under seal and does not disclose the trade secret except under court order. Nothing in the Plan or any Award Agreement is intended to conflict with 18 U.S.C. § 1833(b) or create liability for disclosures of trade secrets that are expressly allowed by such Section.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Non-Competition; Non-Solicitation</w:t>
      </w:r>
      <w:r>
        <w:rPr>
          <w:rFonts w:ascii="Times New Roman" w:hAnsi="Times New Roman"/>
          <w:sz w:val="20"/>
        </w:rPr>
        <w:t xml:space="preserve">. Holder acknowledges and agrees with the Company that during the course of Holder’s involvement and/or employment with the Company or its Subsidiaries, Holder has had and will continue to have the opportunity to develop relationships with existing employees, vendors, suppliers, customers, strategic partners, licensees, licensors, lessors and other business associates of the Company and its Subsidiaries which relationships constitute goodwill of the Company and its Subsidiaries, and the Company and its Subsidiaries would be irreparably damaged if Holder were to take actions that would damage or misappropriate such goodwill. Accordingly, Holder agrees as follows: </w:t>
      </w:r>
    </w:p>
    <w:p>
      <w:pPr>
        <w:pStyle w:val="TextBody"/>
        <w:bidi w:val="0"/>
        <w:spacing w:before="240" w:after="0"/>
        <w:jc w:val="left"/>
        <w:rPr>
          <w:rFonts w:ascii="Times New Roman" w:hAnsi="Times New Roman"/>
          <w:sz w:val="20"/>
        </w:rPr>
      </w:pPr>
      <w:r>
        <w:rPr>
          <w:rFonts w:ascii="Times New Roman" w:hAnsi="Times New Roman"/>
          <w:sz w:val="20"/>
        </w:rPr>
        <w:t>(i) Holder acknowledges that the Company and its Subsidiaries currently conduct their business throughout the United States and the world (hereinafter, the “Territory”). For purposes hereof, the “Territory” shall also include any international market in which the Company or any of its Subsidiaries conducts its business or has plans that have been considered by the Board to conduct its business, in either event, at the time of Holder’s date of termination. Accordingly, during the Holder’s Service Relationship and during the twelve (12) month period thereafter (the “</w:t>
      </w:r>
      <w:r>
        <w:rPr>
          <w:rFonts w:ascii="Times New Roman" w:hAnsi="Times New Roman"/>
          <w:sz w:val="20"/>
          <w:u w:val="single"/>
        </w:rPr>
        <w:t>Non-Competition Period</w:t>
      </w:r>
      <w:r>
        <w:rPr>
          <w:rFonts w:ascii="Times New Roman" w:hAnsi="Times New Roman"/>
          <w:sz w:val="20"/>
        </w:rPr>
        <w:t xml:space="preserve">”), Holder shall not, directly or indirectly, enter into, engage in, assist, give or lend funds to or otherwise finance, be employed by or consult with, or have a financial or other interest in, any business, operation or entity in the same or substantially similar line of business conducted by the Company or its Subsidiaries within the Territory (hereinafter, the “Line of Business”), whether for or by Holder or as a representative for or on behalf of any other person or entity. </w:t>
      </w:r>
    </w:p>
    <w:p>
      <w:pPr>
        <w:pStyle w:val="TextBody"/>
        <w:bidi w:val="0"/>
        <w:spacing w:before="240" w:after="0"/>
        <w:jc w:val="left"/>
        <w:rPr>
          <w:rFonts w:ascii="Times New Roman" w:hAnsi="Times New Roman"/>
          <w:sz w:val="20"/>
        </w:rPr>
      </w:pPr>
      <w:r>
        <w:rPr>
          <w:rFonts w:ascii="Times New Roman" w:hAnsi="Times New Roman"/>
          <w:sz w:val="20"/>
        </w:rPr>
        <w:t xml:space="preserve">(ii) Notwithstanding the foregoing, the aggregate passive ownership by Holder of no more than two percent (2%) of the outstanding equity securities of any entity, which securities are traded on a national or foreign securities exchange, quoted on the Nasdaq Stock Market or other automated quotation system, and which entity competes with the Company (or any part thereof) within the Territory, shall not be deemed to be giving or lending funds to,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otherwise financing or having a financial interest in a competitor. In the event that any entity in which Holder has any financial or other interest directly or indirectly enters into the Line of Business during the Non-Competition Period, Holder shall use his reasonable best efforts to divest all of his interest (other than any amount permitted to be held pursuant to the first sentence of this Section 10(b)(ii) in such entity within thirty (30) days after learning that such entity has entered the Line of Business. </w:t>
      </w:r>
    </w:p>
    <w:p>
      <w:pPr>
        <w:pStyle w:val="TextBody"/>
        <w:bidi w:val="0"/>
        <w:spacing w:before="240" w:after="0"/>
        <w:jc w:val="left"/>
        <w:rPr>
          <w:rFonts w:ascii="Times New Roman" w:hAnsi="Times New Roman"/>
          <w:sz w:val="20"/>
        </w:rPr>
      </w:pPr>
      <w:r>
        <w:rPr>
          <w:rFonts w:ascii="Times New Roman" w:hAnsi="Times New Roman"/>
          <w:sz w:val="20"/>
        </w:rPr>
        <w:t xml:space="preserve">(iii) Holder covenants and agrees that during the Non-Competition Period (i) Holder will not, directly or indirectly, either for Holder or for any other person or entity, solicit any employee, consultant or agent of the Company (other than such Holder’s personal assistant or secretary) or any Subsidiary or Affiliate of the Company to terminate their employment or other relationship with the Company or any Subsidiary or Affiliate of the Company or (ii) employ or engage (or cause to be employed or engaged) any such individual.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Remedies</w:t>
      </w:r>
      <w:r>
        <w:rPr>
          <w:rFonts w:ascii="Times New Roman" w:hAnsi="Times New Roman"/>
          <w:sz w:val="20"/>
        </w:rPr>
        <w:t xml:space="preserve">. Holder acknowledges that the restrictions contained in this Section 10 are reasonable and necessary to protect the legitimate interests of the Company and its Subsidiaries and that the Company would not have entered into the Plan or any Award Agreement in the absence of such restrictions. Holder also acknowledges that any breach by Holder of this Section 10 will cause continuing and irreparable injury to the Company and its Subsidiaries for which monetary damages would not be an adequate remedy. Holder shall not, in any action or proceeding to enforce any of the provisions of the Plan, assert the claim or defense that an adequate remedy at law exists or that this Section 10 is unreasonable or otherwise not enforceable in accordance with their terms. In the event of such breach by Holder, the Company or any of its Subsidiaries shall have the right to enforce the provisions of this Section 10 by seeking injunctive or other relief in any court of competent jurisdiction, and the Plan shall not in any way limit remedies of law or in equity otherwise available to such entity. The periods of time set forth in this Section 10 shall not include, and shall be deemed extended by, any time required for litigation to enforce the relevant covenant periods, provided that the Company or any of its Subsidiaries is successful on the merits in any such litigation. The “time required for litigation” is herein defined to mean the period of time from the earlier of Holder’s first breach of such covenants or service of process upon Holder through the expiration of all appeals related to such litigation. </w:t>
      </w:r>
    </w:p>
    <w:p>
      <w:pPr>
        <w:pStyle w:val="TextBody"/>
        <w:bidi w:val="0"/>
        <w:spacing w:before="36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TAX WITHHOLDING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Payment by Grantee</w:t>
      </w:r>
      <w:r>
        <w:rPr>
          <w:rFonts w:ascii="Times New Roman" w:hAnsi="Times New Roman"/>
          <w:sz w:val="20"/>
        </w:rPr>
        <w:t xml:space="preserve">. Each grantee shall, no later than the date as of which the value of an Award or of any Shares or other amounts received thereunder first becomes includable in the gross income of the grantee for income tax purposes, pay to the Company, or make arrangements satisfactory to the Committee regarding payment of, any Federal, state, or local taxes of any kind required by law to be withheld by the Company with respect to such income. The Company and any Subsidiary shall, to the extent permitted by law, have the right to deduct any such taxes from any payment of any kind otherwise due to the grantee. The Company’s obligation to deliver share certificates (or evidence of book entry) to any grantee is subject to and conditioned on any such tax withholding obligations being satisfied by the grantee.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Payment in Shares</w:t>
      </w:r>
      <w:r>
        <w:rPr>
          <w:rFonts w:ascii="Times New Roman" w:hAnsi="Times New Roman"/>
          <w:sz w:val="20"/>
        </w:rPr>
        <w:t xml:space="preserve">. The Company’s minimum required tax withholding obligation may be satisfied, in whole or in part, by the Company withholding from Shares to be issued pursuant to an Award a number of Shares having an aggregate Fair Market Value (as of the date the withholding is effected) that would satisfy the minimum withholding amount due.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SECTION 409A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Plan is intended to comply with the applicable requirements of Section 409A and shall be limited, construed and interpreted in accordance with such intent. To the extent that any Award is subject to Section 409A, it shall be paid in a manner that will comply with Section 409A. Notwithstanding anything herein to the contrary, any provision in the Plan that is inconsistent with Section 409A shall be deemed to be amended to comply with Section 409A and to the extent such provision cannot be amended to comply therewith, such provision shall be null and void. The Company makes no warranties or representations and shall have no liability to any Person, or any other party, if an Award that is intended to be exempt from, or compliant with, Section 409A is not so exempt or compliant or for any action taken by the Committee or the Company and, in the event that any amount or benefit under the Plan becomes subject to penalties under Section 409A, responsibility for payment of such penalties shall rest solely with the affected Persons and not with the Company. In addition, with respect to any installment amounts payable under the Plan or any Award, the right of any grantee or any other Person to receive any such amounts shall be treated as a right to receive a series of separate and distinct payments.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To the extent that any Award is determined to constitute “nonqualified deferred compensation” within the meaning of Section 409A (hereinafter a “409A Award”), the Award shall be subject to such additional rules and requirements as may be specified by the Committee from time to time. In this regard, if any amount under a 409A Award is payable upon a Termination Event, no such event will be deemed to occur unless it is also “separation from service” (within the meaning of Section 409A), and for purposes of the Plan and any Award, references to a Termination Event, “termination,” “termination of employment” or any similar terms shall mean “separation from service.” In addition, with respect to any grantee who is considered a “specified employee” (within the meaning of Section 409A), then no such payment shall be made prior to the date that is the earlier of (i) six (6) months and one (1) day after the grantee’s separation from service, or (ii) the grantee’s death, but only to the extent such delay is necessary to prevent such payment from being subject to interest, penalties and/or additional tax imposed pursuant to Section 409A. </w:t>
      </w:r>
    </w:p>
    <w:p>
      <w:pPr>
        <w:pStyle w:val="TextBody"/>
        <w:bidi w:val="0"/>
        <w:spacing w:before="36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AMENDMENTS AND TERMINATION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Board may, at any time, amend or discontinue the Plan and the Committee may, at any time, amend or cancel any outstanding Award for the purpose of satisfying changes in law or for any other lawful purpose, but no such action shall adversely affect rights under any outstanding Award without the consent of the holder of the Award. The Committee may exercise its discretion to reduce the exercise price of outstanding Stock Options or effect repricing through cancellation of outstanding Stock Options and by granting such holders new Awards in replacement of the cancelled Stock Options. To the extent determined by the Committee to be required either by the Code to ensure that Incentive Stock Options granted under the Plan are qualified under Section 422 of the Code or otherwise, Plan amendments shall be subject to approval by the Company shareholders entitled to vote at a meeting of shareholders. </w:t>
      </w:r>
    </w:p>
    <w:p>
      <w:pPr>
        <w:pStyle w:val="TextBody"/>
        <w:bidi w:val="0"/>
        <w:spacing w:before="240" w:after="0"/>
        <w:jc w:val="left"/>
        <w:rPr>
          <w:rFonts w:ascii="Times New Roman" w:hAnsi="Times New Roman"/>
          <w:sz w:val="20"/>
        </w:rPr>
      </w:pPr>
      <w:r>
        <w:rPr>
          <w:rFonts w:ascii="Times New Roman" w:hAnsi="Times New Roman"/>
          <w:sz w:val="20"/>
        </w:rPr>
        <w:t xml:space="preserve">Nothing in this Section 13 shall limit the Board’s or Committee’s authority to take any action permitted pursuant to Section 3(c). The Board reserves the right to amend the Plan and/or the terms of any outstanding Stock Options to the extent reasonably necessary to comply with the requirements of the exemption pursuant to paragraph (f)(4) of Rule 12h-1 of the Exchange Act. </w:t>
      </w:r>
    </w:p>
    <w:p>
      <w:pPr>
        <w:pStyle w:val="TextBody"/>
        <w:bidi w:val="0"/>
        <w:spacing w:before="36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STATUS OF PLAN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the portion of any Award that has not been exercised and any payments in cash, Shares or other consideration not received by a grantee, a grantee shall have no rights greater than those of a general creditor of the Company unless the Committee shall otherwise expressly so determine in connection with any Award. </w:t>
      </w:r>
    </w:p>
    <w:p>
      <w:pPr>
        <w:pStyle w:val="TextBody"/>
        <w:bidi w:val="0"/>
        <w:spacing w:before="36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GENERAL PROVISIONS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Distribution; Compliance with Legal Requirements</w:t>
      </w:r>
      <w:r>
        <w:rPr>
          <w:rFonts w:ascii="Times New Roman" w:hAnsi="Times New Roman"/>
          <w:sz w:val="20"/>
        </w:rPr>
        <w:t xml:space="preserve">. The Committee may require each person acquiring Shares pursuant to an Award to represent to and agree with the Company in writing that such person is acquiring the Shares without a view to distribution thereof. No Shares shall be issued pursuant to an Award until all applicable securities law and other legal and stock exchange or similar requirements have been satisfied. The Committee may require the placing of such stop-orders and restrictive legends on certificates for Shares and Awards as it deems appropriate.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Delivery of Share Certificates</w:t>
      </w:r>
      <w:r>
        <w:rPr>
          <w:rFonts w:ascii="Times New Roman" w:hAnsi="Times New Roman"/>
          <w:sz w:val="20"/>
        </w:rPr>
        <w:t xml:space="preserve">. Share certificates to grantees under the Plan shall be deemed delivered for all purposes when the Company or a share transfer agent of the Company shall have mailed such certificates in the United States mail, addressed to the grantee, at the grantee’s last known address on file with the Company; provided that share certificates to be held in escrow pursuant to Section 9 of the Plan shall be deemed delivered when the Company shall have recorded the issuance in its records. Uncertificated Shares shall be deemed delivered for all purposes when the Company or a share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Employment Rights</w:t>
      </w:r>
      <w:r>
        <w:rPr>
          <w:rFonts w:ascii="Times New Roman" w:hAnsi="Times New Roman"/>
          <w:b/>
          <w:sz w:val="20"/>
        </w:rPr>
        <w:t xml:space="preserve">. </w:t>
      </w:r>
      <w:r>
        <w:rPr>
          <w:rFonts w:ascii="Times New Roman" w:hAnsi="Times New Roman"/>
          <w:sz w:val="20"/>
        </w:rPr>
        <w:t xml:space="preserve">The adoption of the Plan and the grant of Awards do not confer upon any Person any right to continued employment or Service Relationship with the Company or any Subsidiary.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Trading Policy Restrictions</w:t>
      </w:r>
      <w:r>
        <w:rPr>
          <w:rFonts w:ascii="Times New Roman" w:hAnsi="Times New Roman"/>
          <w:sz w:val="20"/>
        </w:rPr>
        <w:t xml:space="preserve">. Option exercises and other Awards under the Plan shall be subject to the Company’s insider trading policy-related restrictions, terms and conditions as may be established by the Committee, or in accordance with policies set by the Committee,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Designation of Beneficiary</w:t>
      </w:r>
      <w:r>
        <w:rPr>
          <w:rFonts w:ascii="Times New Roman" w:hAnsi="Times New Roman"/>
          <w:sz w:val="20"/>
        </w:rPr>
        <w:t xml:space="preserve">. Each grantee to whom an Award has been made under the Plan may designate a beneficiary or beneficiaries to exercise any Award on or after the grantee’s death or receive any payment under any Award payable on or after the grantee’s death. Any such designation shall be on a form provided for that purpose by the Committee and shall not be effective until received by the Committee. If no beneficiary has been designated by a deceased grantee, or if the designated beneficiaries have predeceased the grantee, the beneficiary shall be the grantee’s estate.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Legend</w:t>
      </w:r>
      <w:r>
        <w:rPr>
          <w:rFonts w:ascii="Times New Roman" w:hAnsi="Times New Roman"/>
          <w:sz w:val="20"/>
        </w:rPr>
        <w:t xml:space="preserve">. Any certificate(s) representing the Shares shall carry substantially the following legend (and with respect to uncertificated Shares, the book entries evidencing such shares shall contain the following notation): </w:t>
      </w:r>
    </w:p>
    <w:p>
      <w:pPr>
        <w:pStyle w:val="TextBody"/>
        <w:bidi w:val="0"/>
        <w:spacing w:before="240" w:after="0"/>
        <w:jc w:val="left"/>
        <w:rPr>
          <w:rFonts w:ascii="Times New Roman" w:hAnsi="Times New Roman"/>
          <w:sz w:val="20"/>
        </w:rPr>
      </w:pPr>
      <w:r>
        <w:rPr>
          <w:rFonts w:ascii="Times New Roman" w:hAnsi="Times New Roman"/>
          <w:sz w:val="20"/>
        </w:rPr>
        <w:t xml:space="preserve">The transferability of this certificate and the Shares represented hereby are subject to the restrictions, terms and conditions (including repurchase and restrictions against transfers) contained in the Damora Therapeutics, Inc. 2020 Stock Option and Grant Plan and any agreements entered into thereunder by and between the company and the holder of this certificate (a copy of which is available at the offices of the company for examination). </w:t>
      </w:r>
    </w:p>
    <w:p>
      <w:pPr>
        <w:pStyle w:val="TextBody"/>
        <w:bidi w:val="0"/>
        <w:spacing w:before="240" w:after="0"/>
        <w:jc w:val="left"/>
        <w:rPr>
          <w:rFonts w:ascii="Times New Roman" w:hAnsi="Times New Roman"/>
          <w:sz w:val="20"/>
        </w:rPr>
      </w:pPr>
      <w:r>
        <w:rPr>
          <w:rFonts w:ascii="Times New Roman" w:hAnsi="Times New Roman"/>
          <w:sz w:val="20"/>
        </w:rPr>
        <w:t xml:space="preserve">(g) Information to Holders of Options. In the event the Company is relying on the exemption from the registration requirements of Section 12(g) of the Exchange Act contained in paragraph (f)(1) of Rule 12h-1 of the Exchange Act, the Company shall provide the information described in Rule 701(e)(3), (4) and (5) of the Securities Act to all holders of Options in accordance with the requirements thereunder. The foregoing notwithstanding, the Company shall not be required to provide such information unless the optionholder has agreed in writing, on a form prescribed by the Company, to keep such information confidential. </w:t>
      </w:r>
    </w:p>
    <w:p>
      <w:pPr>
        <w:pStyle w:val="TextBody"/>
        <w:bidi w:val="0"/>
        <w:spacing w:before="360" w:after="0"/>
        <w:jc w:val="left"/>
        <w:rPr>
          <w:rFonts w:ascii="Times New Roman" w:hAnsi="Times New Roman"/>
          <w:sz w:val="20"/>
        </w:rPr>
      </w:pPr>
      <w:r>
        <w:rPr>
          <w:rFonts w:ascii="Times New Roman" w:hAnsi="Times New Roman"/>
          <w:sz w:val="20"/>
        </w:rPr>
        <w:t>SECTION 16.</w:t>
      </w:r>
      <w:r>
        <w:rPr>
          <w:rFonts w:ascii="Times New Roman" w:hAnsi="Times New Roman"/>
          <w:sz w:val="20"/>
          <w:u w:val="single"/>
        </w:rPr>
        <w:t xml:space="preserve"> EFFECTIVE DATE OF PLAN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Plan shall become effective upon adoption by the Board and shall be approved by stockholders in accordance with applicable state law and the Company’s memorandum and articles of association within twelve (12) months thereafter. If the stockholders fail to approve the Plan within twelve (12) months after its adoption by the Board of Directors, then any Awards granted or sold under the Plan shall be rescinded and no additional grants or sales shall thereafter be made under the Plan. Subject to such approval by stockholders and to the requirement that no Shares may be issued hereunder prior to such approval. Stock Options and other Awards may be granted hereunder on and after adoption of the Plan by the Board. No grants of Stock Options and other Awards may be made hereunder after the tenth anniversary of the date the Plan is adopted by the Board or the date the Plan is approved by the Company’s stockholders, whichever is earlier. </w:t>
      </w:r>
    </w:p>
    <w:p>
      <w:pPr>
        <w:pStyle w:val="TextBody"/>
        <w:bidi w:val="0"/>
        <w:spacing w:before="240" w:after="0"/>
        <w:jc w:val="left"/>
        <w:rPr>
          <w:rFonts w:ascii="Times New Roman" w:hAnsi="Times New Roman"/>
          <w:sz w:val="20"/>
        </w:rPr>
      </w:pPr>
      <w:r>
        <w:rPr>
          <w:rFonts w:ascii="Times New Roman" w:hAnsi="Times New Roman"/>
          <w:sz w:val="20"/>
        </w:rPr>
        <w:t xml:space="preserve">This Plan, all Awards and any controversy arising out of or relating to this Plan and all Awards shall be governed by and construed in accordance with the laws of the Cayman Islands, without regard to conflict of law principles that would result in the application of any law other than the law of the Cayman Islands. </w:t>
      </w:r>
    </w:p>
    <w:p>
      <w:pPr>
        <w:pStyle w:val="TextBody"/>
        <w:bidi w:val="0"/>
        <w:spacing w:before="360" w:after="0"/>
        <w:jc w:val="left"/>
        <w:rPr>
          <w:rFonts w:ascii="Times New Roman" w:hAnsi="Times New Roman"/>
          <w:sz w:val="20"/>
        </w:rPr>
      </w:pPr>
      <w:r>
        <w:rPr>
          <w:rFonts w:ascii="Times New Roman" w:hAnsi="Times New Roman"/>
          <w:sz w:val="20"/>
        </w:rPr>
        <w:t xml:space="preserve">SECTION 17. CERTAIN ISSUANCES, EXCHANGES AND SUBSTITUTIONS </w:t>
      </w:r>
    </w:p>
    <w:p>
      <w:pPr>
        <w:pStyle w:val="TextBody"/>
        <w:bidi w:val="0"/>
        <w:spacing w:before="120" w:after="0"/>
        <w:jc w:val="left"/>
        <w:rPr>
          <w:rFonts w:ascii="Times New Roman" w:hAnsi="Times New Roman"/>
          <w:sz w:val="20"/>
        </w:rPr>
      </w:pPr>
      <w:r>
        <w:rPr>
          <w:rFonts w:ascii="Times New Roman" w:hAnsi="Times New Roman"/>
          <w:sz w:val="20"/>
        </w:rPr>
        <w:t xml:space="preserve">To the extent any Awards are issued with respect to, in exchange for, or as a substitute for previously held awards or rights (hereinafter, the “Replaced Awards”), such Awards shall comply with applicable law relating to such issuance, exchange, or substitution, and such Awards shall otherwise be generally subject to the terms of the Plan; provided, however, that the Committee shall have discretion to modify the terms of such Awards to comply with applicable law relating to such issuance, exchange, or substitution, including (without limitation) that the terms of any such Awards that are Options may vary from the provisions of the Plan to the extent such variances comply with Treasury Regulation 1.424-1, and, in addition, to the extent any such Options (including the applicable Award Agreement and/or the Plan) provide for additional benefits that were not provided under the Replaced Awards, such additional benefits shall be rendered null and void </w:t>
      </w:r>
      <w:r>
        <w:rPr>
          <w:rFonts w:ascii="Times New Roman" w:hAnsi="Times New Roman"/>
          <w:i/>
          <w:sz w:val="20"/>
        </w:rPr>
        <w:t xml:space="preserve">ab initio </w:t>
      </w:r>
      <w:r>
        <w:rPr>
          <w:rFonts w:ascii="Times New Roman" w:hAnsi="Times New Roman"/>
          <w:sz w:val="20"/>
        </w:rPr>
        <w:t xml:space="preserve">with respect to such Options.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95"/>
        <w:gridCol w:w="122"/>
        <w:gridCol w:w="4788"/>
      </w:tblGrid>
      <w:tr>
        <w:trPr/>
        <w:tc>
          <w:tcPr>
            <w:tcW w:w="529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788" w:type="dxa"/>
            <w:tcBorders/>
            <w:vAlign w:val="center"/>
          </w:tcPr>
          <w:p>
            <w:pPr>
              <w:pStyle w:val="TableContents"/>
              <w:bidi w:val="0"/>
              <w:spacing w:before="0" w:after="283"/>
              <w:jc w:val="left"/>
              <w:rPr>
                <w:sz w:val="4"/>
                <w:szCs w:val="4"/>
              </w:rPr>
            </w:pPr>
            <w:r>
              <w:rPr>
                <w:sz w:val="4"/>
                <w:szCs w:val="4"/>
              </w:rPr>
            </w:r>
          </w:p>
        </w:tc>
      </w:tr>
      <w:tr>
        <w:trPr/>
        <w:tc>
          <w:tcPr>
            <w:tcW w:w="5295" w:type="dxa"/>
            <w:tcBorders/>
          </w:tcPr>
          <w:p>
            <w:pPr>
              <w:pStyle w:val="TableContents"/>
              <w:bidi w:val="0"/>
              <w:spacing w:before="0" w:after="283"/>
              <w:jc w:val="left"/>
              <w:rPr/>
            </w:pPr>
            <w:r>
              <w:rPr/>
              <w:t>DATE ADOPTED BY THE BOARD OF DIRECTORS:</w:t>
            </w:r>
          </w:p>
        </w:tc>
        <w:tc>
          <w:tcPr>
            <w:tcW w:w="122" w:type="dxa"/>
            <w:tcBorders/>
            <w:vAlign w:val="bottom"/>
          </w:tcPr>
          <w:p>
            <w:pPr>
              <w:pStyle w:val="TableContents"/>
              <w:bidi w:val="0"/>
              <w:spacing w:before="0" w:after="283"/>
              <w:jc w:val="left"/>
              <w:rPr/>
            </w:pPr>
            <w:r>
              <w:rPr/>
              <w:t>  </w:t>
            </w:r>
          </w:p>
        </w:tc>
        <w:tc>
          <w:tcPr>
            <w:tcW w:w="4788" w:type="dxa"/>
            <w:tcBorders/>
          </w:tcPr>
          <w:p>
            <w:pPr>
              <w:pStyle w:val="TableContents"/>
              <w:bidi w:val="0"/>
              <w:spacing w:before="0" w:after="283"/>
              <w:jc w:val="left"/>
              <w:rPr/>
            </w:pPr>
            <w:r>
              <w:rPr/>
              <w:t>March 22, 2020</w:t>
            </w:r>
          </w:p>
        </w:tc>
      </w:tr>
      <w:tr>
        <w:trPr>
          <w:trHeight w:val="240" w:hRule="atLeast"/>
        </w:trPr>
        <w:tc>
          <w:tcPr>
            <w:tcW w:w="5295" w:type="dxa"/>
            <w:tcBorders/>
            <w:vAlign w:val="center"/>
          </w:tcPr>
          <w:p>
            <w:pPr>
              <w:pStyle w:val="TableContents"/>
              <w:bidi w:val="0"/>
              <w:spacing w:before="0" w:after="283"/>
              <w:jc w:val="left"/>
              <w:rPr>
                <w:sz w:val="4"/>
                <w:szCs w:val="4"/>
              </w:rPr>
            </w:pPr>
            <w:r>
              <w:rPr>
                <w:sz w:val="4"/>
                <w:szCs w:val="4"/>
              </w:rPr>
            </w:r>
          </w:p>
        </w:tc>
        <w:tc>
          <w:tcPr>
            <w:tcW w:w="4910" w:type="dxa"/>
            <w:gridSpan w:val="2"/>
            <w:tcBorders/>
            <w:vAlign w:val="center"/>
          </w:tcPr>
          <w:p>
            <w:pPr>
              <w:pStyle w:val="TableContents"/>
              <w:bidi w:val="0"/>
              <w:spacing w:before="0" w:after="283"/>
              <w:jc w:val="left"/>
              <w:rPr>
                <w:sz w:val="4"/>
                <w:szCs w:val="4"/>
              </w:rPr>
            </w:pPr>
            <w:r>
              <w:rPr>
                <w:sz w:val="4"/>
                <w:szCs w:val="4"/>
              </w:rPr>
            </w:r>
          </w:p>
        </w:tc>
      </w:tr>
      <w:tr>
        <w:trPr/>
        <w:tc>
          <w:tcPr>
            <w:tcW w:w="5295" w:type="dxa"/>
            <w:tcBorders/>
          </w:tcPr>
          <w:p>
            <w:pPr>
              <w:pStyle w:val="TableContents"/>
              <w:bidi w:val="0"/>
              <w:spacing w:before="0" w:after="283"/>
              <w:jc w:val="left"/>
              <w:rPr/>
            </w:pPr>
            <w:r>
              <w:rPr/>
              <w:t>DATE APPROVED BY THE STOCKHOLDERS:</w:t>
            </w:r>
          </w:p>
        </w:tc>
        <w:tc>
          <w:tcPr>
            <w:tcW w:w="122" w:type="dxa"/>
            <w:tcBorders/>
            <w:vAlign w:val="bottom"/>
          </w:tcPr>
          <w:p>
            <w:pPr>
              <w:pStyle w:val="TableContents"/>
              <w:bidi w:val="0"/>
              <w:spacing w:before="0" w:after="283"/>
              <w:jc w:val="left"/>
              <w:rPr/>
            </w:pPr>
            <w:r>
              <w:rPr/>
              <w:t>  </w:t>
            </w:r>
          </w:p>
        </w:tc>
        <w:tc>
          <w:tcPr>
            <w:tcW w:w="4788" w:type="dxa"/>
            <w:tcBorders/>
          </w:tcPr>
          <w:p>
            <w:pPr>
              <w:pStyle w:val="TableContents"/>
              <w:bidi w:val="0"/>
              <w:spacing w:before="0" w:after="283"/>
              <w:jc w:val="left"/>
              <w:rPr/>
            </w:pPr>
            <w:r>
              <w:rPr/>
              <w:t>March 22, 2020</w:t>
            </w:r>
          </w:p>
        </w:tc>
      </w:tr>
    </w:tbl>
    <w:p>
      <w:pPr>
        <w:pStyle w:val="TextBody"/>
        <w:bidi w:val="0"/>
        <w:spacing w:before="0" w:after="0"/>
        <w:jc w:val="right"/>
        <w:rPr>
          <w:rFonts w:ascii="Times New Roman" w:hAnsi="Times New Roman"/>
          <w:b/>
          <w:sz w:val="20"/>
        </w:rPr>
      </w:pPr>
      <w:bookmarkStart w:id="13" w:name="d135820dex47.htm"/>
      <w:bookmarkStart w:id="14" w:name="ksd135820dex47"/>
      <w:bookmarkEnd w:id="13"/>
      <w:bookmarkEnd w:id="14"/>
      <w:r>
        <w:rPr>
          <w:rFonts w:ascii="Times New Roman" w:hAnsi="Times New Roman"/>
          <w:b/>
          <w:sz w:val="20"/>
        </w:rPr>
        <w:t xml:space="preserve">Exhibit 4.7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DAMORA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2020 EQUITY INCENTIVE PLAN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GENERAL PURPOSE OF THE PLAN; DEFINITIONS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name of the plan is the Damora Therapeutics, Inc. 2020 Equity Incentive Plan (the “Plan”). The purpose of the Plan is to encourage and enable Employees, Non-Employee Directors and Consultants of Damora Therapeutics, Inc., a Cayman Islands exempted company (including any successor entity, the “Company”) and its Affiliates upon whose judgment, initiative and efforts the Company largely depends for the successful conduct of its business, to provide eligible persons to acquire a proprietary interest in the Company as an incentive to remain in the service of the Company. It is further anticipated that providing such persons with a direct stake in the Company’s welfare will assure a closer identification of their interests with those of the Company and its shareholders, thereby stimulating their efforts on the Company’s behalf and strengthening their desire to remain with the Company. This Plan supersedes the Damora Therapeutics, Inc. 2020 Stock Option and Grant Plan (the “Prior Plan”), from which no new grants shall be made. All awards forfeited pursuant to the terms of the Prior Plan shall be returned to the pool to be granted pursuant to Section 3(a) of the Plan. </w:t>
      </w:r>
    </w:p>
    <w:p>
      <w:pPr>
        <w:pStyle w:val="TextBody"/>
        <w:bidi w:val="0"/>
        <w:spacing w:before="240" w:after="0"/>
        <w:jc w:val="left"/>
        <w:rPr>
          <w:rFonts w:ascii="Times New Roman" w:hAnsi="Times New Roman"/>
          <w:sz w:val="20"/>
        </w:rPr>
      </w:pPr>
      <w:r>
        <w:rPr>
          <w:rFonts w:ascii="Times New Roman" w:hAnsi="Times New Roman"/>
          <w:sz w:val="20"/>
        </w:rPr>
        <w:t xml:space="preserve">The Plan has been amended and restated to reflect the Company’s name change and a change in the Company’s jurisdiction of incorporation from the State of Delaware to the Cayman Islands, but no further awards may be issued under the Plan as of February 9, 2026.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terms shall be defined as set forth below: </w:t>
      </w:r>
    </w:p>
    <w:p>
      <w:pPr>
        <w:pStyle w:val="TextBody"/>
        <w:bidi w:val="0"/>
        <w:spacing w:before="240" w:after="0"/>
        <w:jc w:val="left"/>
        <w:rPr/>
      </w:pPr>
      <w:r>
        <w:rPr/>
        <w:t>“</w:t>
      </w:r>
      <w:r>
        <w:rPr>
          <w:rFonts w:ascii="Times New Roman" w:hAnsi="Times New Roman"/>
          <w:i/>
          <w:sz w:val="20"/>
        </w:rPr>
        <w:t>Act”</w:t>
      </w:r>
      <w:r>
        <w:rPr>
          <w:rFonts w:ascii="Times New Roman" w:hAnsi="Times New Roman"/>
          <w:sz w:val="20"/>
        </w:rPr>
        <w:t xml:space="preserve"> means the Securities Act of 1933, as amended, and the rules and regulations thereunder. </w:t>
      </w:r>
    </w:p>
    <w:p>
      <w:pPr>
        <w:pStyle w:val="TextBody"/>
        <w:bidi w:val="0"/>
        <w:spacing w:before="240" w:after="0"/>
        <w:jc w:val="left"/>
        <w:rPr/>
      </w:pPr>
      <w:r>
        <w:rPr/>
        <w:t>“</w:t>
      </w:r>
      <w:r>
        <w:rPr>
          <w:rFonts w:ascii="Times New Roman" w:hAnsi="Times New Roman"/>
          <w:i/>
          <w:sz w:val="20"/>
        </w:rPr>
        <w:t>Administrator”</w:t>
      </w:r>
      <w:r>
        <w:rPr>
          <w:rFonts w:ascii="Times New Roman" w:hAnsi="Times New Roman"/>
          <w:sz w:val="20"/>
        </w:rPr>
        <w:t xml:space="preserve"> means either (x) the Board, (y) the compensation committee of the Board or (z) a similar committee performing the functions of the compensation committee, which committee shall be, for any actions taken at or following the Registration Date, comprised of not less than two Non-Employee Directors who are independent. </w:t>
      </w:r>
    </w:p>
    <w:p>
      <w:pPr>
        <w:pStyle w:val="TextBody"/>
        <w:bidi w:val="0"/>
        <w:spacing w:before="240" w:after="0"/>
        <w:jc w:val="left"/>
        <w:rPr/>
      </w:pPr>
      <w:r>
        <w:rPr/>
        <w:t>“</w:t>
      </w:r>
      <w:r>
        <w:rPr>
          <w:rFonts w:ascii="Times New Roman" w:hAnsi="Times New Roman"/>
          <w:i/>
          <w:sz w:val="20"/>
        </w:rPr>
        <w:t>Affiliate</w:t>
      </w:r>
      <w:r>
        <w:rPr>
          <w:rFonts w:ascii="Times New Roman" w:hAnsi="Times New Roman"/>
          <w:sz w:val="20"/>
        </w:rPr>
        <w:t xml:space="preserve">” means, at the time of determination, any “parent” or “subsidiary” of the Company as such terms are defined in Rule 405 of the Act. The Board will have the authority to determine the time or times at which “parent” or “subsidiary” status is determined within the foregoing definition. </w:t>
      </w:r>
    </w:p>
    <w:p>
      <w:pPr>
        <w:pStyle w:val="TextBody"/>
        <w:bidi w:val="0"/>
        <w:spacing w:before="240" w:after="0"/>
        <w:jc w:val="left"/>
        <w:rPr/>
      </w:pPr>
      <w:r>
        <w:rPr/>
        <w:t>“</w:t>
      </w:r>
      <w:r>
        <w:rPr>
          <w:rFonts w:ascii="Times New Roman" w:hAnsi="Times New Roman"/>
          <w:i/>
          <w:sz w:val="20"/>
        </w:rPr>
        <w:t>Award”</w:t>
      </w:r>
      <w:r>
        <w:rPr>
          <w:rFonts w:ascii="Times New Roman" w:hAnsi="Times New Roman"/>
          <w:sz w:val="20"/>
        </w:rPr>
        <w:t xml:space="preserve"> or “</w:t>
      </w:r>
      <w:r>
        <w:rPr>
          <w:rFonts w:ascii="Times New Roman" w:hAnsi="Times New Roman"/>
          <w:i/>
          <w:sz w:val="20"/>
        </w:rPr>
        <w:t>Awards,”</w:t>
      </w:r>
      <w:r>
        <w:rPr>
          <w:rFonts w:ascii="Times New Roman" w:hAnsi="Times New Roman"/>
          <w:sz w:val="20"/>
        </w:rPr>
        <w:t xml:space="preserve"> except where referring to a particular category of grant under the Plan, shall include Incentive Stock Options, Non-Qualified Stock Options, Stock Appreciation Rights, Restricted Stock Units, Restricted Stock Awards, Unrestricted Stock Awards, Cash-Based Awards, and Dividend Equivalent Rights. </w:t>
      </w:r>
    </w:p>
    <w:p>
      <w:pPr>
        <w:pStyle w:val="TextBody"/>
        <w:bidi w:val="0"/>
        <w:spacing w:before="240" w:after="0"/>
        <w:jc w:val="left"/>
        <w:rPr/>
      </w:pPr>
      <w:r>
        <w:rPr/>
        <w:t>“</w:t>
      </w:r>
      <w:r>
        <w:rPr>
          <w:rFonts w:ascii="Times New Roman" w:hAnsi="Times New Roman"/>
          <w:i/>
          <w:sz w:val="20"/>
        </w:rPr>
        <w:t>Award Agreement”</w:t>
      </w:r>
      <w:r>
        <w:rPr>
          <w:rFonts w:ascii="Times New Roman" w:hAnsi="Times New Roman"/>
          <w:sz w:val="20"/>
        </w:rPr>
        <w:t xml:space="preserve"> means a written or electronic document setting forth the terms and provisions applicable to an Award granted under the Plan. Each Award Agreement is subject to the terms and conditions of the Plan. </w:t>
      </w:r>
    </w:p>
    <w:p>
      <w:pPr>
        <w:pStyle w:val="TextBody"/>
        <w:bidi w:val="0"/>
        <w:spacing w:before="240" w:after="0"/>
        <w:jc w:val="left"/>
        <w:rPr/>
      </w:pPr>
      <w:r>
        <w:rPr/>
        <w:t>“</w:t>
      </w:r>
      <w:r>
        <w:rPr>
          <w:rFonts w:ascii="Times New Roman" w:hAnsi="Times New Roman"/>
          <w:i/>
          <w:sz w:val="20"/>
        </w:rPr>
        <w:t>Board”</w:t>
      </w:r>
      <w:r>
        <w:rPr>
          <w:rFonts w:ascii="Times New Roman" w:hAnsi="Times New Roman"/>
          <w:sz w:val="20"/>
        </w:rPr>
        <w:t xml:space="preserve"> means the Board of Directors of the Company. </w:t>
      </w:r>
    </w:p>
    <w:p>
      <w:pPr>
        <w:pStyle w:val="TextBody"/>
        <w:bidi w:val="0"/>
        <w:spacing w:before="240" w:after="0"/>
        <w:jc w:val="left"/>
        <w:rPr/>
      </w:pPr>
      <w:r>
        <w:rPr/>
        <w:t>“</w:t>
      </w:r>
      <w:r>
        <w:rPr>
          <w:rFonts w:ascii="Times New Roman" w:hAnsi="Times New Roman"/>
          <w:i/>
          <w:sz w:val="20"/>
        </w:rPr>
        <w:t>Cash-Based Award”</w:t>
      </w:r>
      <w:r>
        <w:rPr>
          <w:rFonts w:ascii="Times New Roman" w:hAnsi="Times New Roman"/>
          <w:sz w:val="20"/>
        </w:rPr>
        <w:t xml:space="preserve"> means an Award entitling the recipient to receive a cash-denominated payment. </w:t>
      </w:r>
    </w:p>
    <w:p>
      <w:pPr>
        <w:pStyle w:val="TextBody"/>
        <w:bidi w:val="0"/>
        <w:spacing w:before="240" w:after="0"/>
        <w:jc w:val="left"/>
        <w:rPr/>
      </w:pPr>
      <w:r>
        <w:rPr/>
        <w:t>“</w:t>
      </w:r>
      <w:r>
        <w:rPr>
          <w:rFonts w:ascii="Times New Roman" w:hAnsi="Times New Roman"/>
          <w:i/>
          <w:sz w:val="20"/>
        </w:rPr>
        <w:t>Cause</w:t>
      </w:r>
      <w:r>
        <w:rPr>
          <w:rFonts w:ascii="Times New Roman" w:hAnsi="Times New Roman"/>
          <w:sz w:val="20"/>
        </w:rPr>
        <w:t xml:space="preserve">” shall have the meaning set forth in a Grantee’s employment agreement or consulting agreement, if any, unless otherwise set forth in the applicable Award Agreement or, in the case that no employment agreement, consulting agreement, or Award Agreement contains a definition of “Cause,” it shall mean (i) the Grantee’s dishonest statements or acts with respect to the Company or any Affiliate of the Company, or any current or prospective customers, suppliers vendors or other third parties with which such entity does business; (ii) the Grantee’s commission of (A) a felony (as such term is construed in accordance with U.S. law) or (B) any misdemeanor involving moral turpitude, deceit, dishonesty or fraud; (iii) the Grantee’s failure to perform his assigned duties and responsibilities to the reasonable satisfaction of the Company which failure continues, in the reasonable judgment of the Company, after written notice given to the Grantee by the Company; (iv) the Grantee’s gross negligence (as such term is construed in accordance with U.S. law), willful misconduct or insubordination with respect to the Company or any Affiliate of the Company; or (v) the Grantee’s material violation of any provision of any agreement(s) between the Grantee and the Company relating to non-competition, non-solicitation, non-disclosure and/or assignment of inventions.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Code”</w:t>
      </w:r>
      <w:r>
        <w:rPr>
          <w:rFonts w:ascii="Times New Roman" w:hAnsi="Times New Roman"/>
          <w:sz w:val="20"/>
        </w:rPr>
        <w:t xml:space="preserve"> means the Internal Revenue Code of 1986, as amended, and any successor Code, and related rules, regulations and interpretations. </w:t>
      </w:r>
    </w:p>
    <w:p>
      <w:pPr>
        <w:pStyle w:val="TextBody"/>
        <w:bidi w:val="0"/>
        <w:spacing w:before="240" w:after="0"/>
        <w:jc w:val="left"/>
        <w:rPr/>
      </w:pPr>
      <w:r>
        <w:rPr/>
        <w:t>“</w:t>
      </w:r>
      <w:r>
        <w:rPr>
          <w:rFonts w:ascii="Times New Roman" w:hAnsi="Times New Roman"/>
          <w:i/>
          <w:sz w:val="20"/>
        </w:rPr>
        <w:t>Consultant”</w:t>
      </w:r>
      <w:r>
        <w:rPr>
          <w:rFonts w:ascii="Times New Roman" w:hAnsi="Times New Roman"/>
          <w:sz w:val="20"/>
        </w:rPr>
        <w:t xml:space="preserve"> means a natural person who is a consultant or adviser to the Company or an Affiliate. </w:t>
      </w:r>
    </w:p>
    <w:p>
      <w:pPr>
        <w:pStyle w:val="TextBody"/>
        <w:bidi w:val="0"/>
        <w:spacing w:before="240" w:after="0"/>
        <w:jc w:val="left"/>
        <w:rPr/>
      </w:pPr>
      <w:r>
        <w:rPr/>
        <w:t>“</w:t>
      </w:r>
      <w:r>
        <w:rPr>
          <w:rFonts w:ascii="Times New Roman" w:hAnsi="Times New Roman"/>
          <w:i/>
          <w:sz w:val="20"/>
        </w:rPr>
        <w:t>Dividend Equivalent Right”</w:t>
      </w:r>
      <w:r>
        <w:rPr>
          <w:rFonts w:ascii="Times New Roman" w:hAnsi="Times New Roman"/>
          <w:sz w:val="20"/>
        </w:rPr>
        <w:t xml:space="preserve"> means an Award entitling the Grantee to receive credits based on ordinary cash dividends that would have been paid on the Shares specified in the Dividend Equivalent Right (or other award to which it relates) if such shares had been issued to and held by the Grantee. </w:t>
      </w:r>
    </w:p>
    <w:p>
      <w:pPr>
        <w:pStyle w:val="TextBody"/>
        <w:bidi w:val="0"/>
        <w:spacing w:before="240" w:after="0"/>
        <w:jc w:val="left"/>
        <w:rPr/>
      </w:pPr>
      <w:r>
        <w:rPr/>
        <w:t>“</w:t>
      </w:r>
      <w:r>
        <w:rPr>
          <w:rFonts w:ascii="Times New Roman" w:hAnsi="Times New Roman"/>
          <w:i/>
          <w:sz w:val="20"/>
        </w:rPr>
        <w:t>Effective Date”</w:t>
      </w:r>
      <w:r>
        <w:rPr>
          <w:rFonts w:ascii="Times New Roman" w:hAnsi="Times New Roman"/>
          <w:sz w:val="20"/>
        </w:rPr>
        <w:t xml:space="preserve"> means the date on which the Plan becomes effective as set forth in Section 19. </w:t>
      </w:r>
    </w:p>
    <w:p>
      <w:pPr>
        <w:pStyle w:val="TextBody"/>
        <w:bidi w:val="0"/>
        <w:spacing w:before="240" w:after="0"/>
        <w:jc w:val="left"/>
        <w:rPr/>
      </w:pPr>
      <w:r>
        <w:rPr/>
        <w:t>“</w:t>
      </w:r>
      <w:r>
        <w:rPr>
          <w:rFonts w:ascii="Times New Roman" w:hAnsi="Times New Roman"/>
          <w:i/>
          <w:sz w:val="20"/>
        </w:rPr>
        <w:t xml:space="preserve">Employee” </w:t>
      </w:r>
      <w:r>
        <w:rPr>
          <w:rFonts w:ascii="Times New Roman" w:hAnsi="Times New Roman"/>
          <w:sz w:val="20"/>
        </w:rPr>
        <w:t xml:space="preserve">means each employee of the Company or an Affiliate. </w:t>
      </w:r>
    </w:p>
    <w:p>
      <w:pPr>
        <w:pStyle w:val="TextBody"/>
        <w:bidi w:val="0"/>
        <w:spacing w:before="240" w:after="0"/>
        <w:jc w:val="left"/>
        <w:rPr/>
      </w:pPr>
      <w:r>
        <w:rPr/>
        <w:t>“</w:t>
      </w:r>
      <w:r>
        <w:rPr>
          <w:rFonts w:ascii="Times New Roman" w:hAnsi="Times New Roman"/>
          <w:i/>
          <w:sz w:val="20"/>
        </w:rPr>
        <w:t>Exchange Act”</w:t>
      </w:r>
      <w:r>
        <w:rPr>
          <w:rFonts w:ascii="Times New Roman" w:hAnsi="Times New Roman"/>
          <w:sz w:val="20"/>
        </w:rPr>
        <w:t xml:space="preserve"> means the Securities Exchange Act of 1934, as amended, and the rules and regulations thereunder. </w:t>
      </w:r>
    </w:p>
    <w:p>
      <w:pPr>
        <w:pStyle w:val="TextBody"/>
        <w:bidi w:val="0"/>
        <w:spacing w:before="240" w:after="0"/>
        <w:jc w:val="left"/>
        <w:rPr/>
      </w:pPr>
      <w:r>
        <w:rPr/>
        <w:t>“</w:t>
      </w:r>
      <w:r>
        <w:rPr>
          <w:rFonts w:ascii="Times New Roman" w:hAnsi="Times New Roman"/>
          <w:i/>
          <w:sz w:val="20"/>
        </w:rPr>
        <w:t>Fair Market Value”</w:t>
      </w:r>
      <w:r>
        <w:rPr>
          <w:rFonts w:ascii="Times New Roman" w:hAnsi="Times New Roman"/>
          <w:sz w:val="20"/>
        </w:rPr>
        <w:t xml:space="preserve"> of the Shares on any given date means the fair market value of the Shares determined in good faith by the Administrator in accordance with Section 409A;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 Shares are listed on the National Association of Securities Dealers Automated Quotation System (“NASDAQ”), NASDAQ Global Market, The New York Stock Exchange or another national securities exchange or traded on any established market, the determination shall be made by reference to the last sales price on the date immediately preceding such given date; </w:t>
      </w:r>
      <w:r>
        <w:rPr>
          <w:rFonts w:ascii="Times New Roman" w:hAnsi="Times New Roman"/>
          <w:i/>
          <w:sz w:val="20"/>
        </w:rPr>
        <w:t>provided further</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 date for which Fair Market Value is determined is the Registration Date, the Fair Market Value shall be the “Price to the Public” (or equivalent) set forth on the cover page for the final prospectus relating to the Company’s initial public offering. </w:t>
      </w:r>
    </w:p>
    <w:p>
      <w:pPr>
        <w:pStyle w:val="TextBody"/>
        <w:bidi w:val="0"/>
        <w:spacing w:before="240" w:after="0"/>
        <w:jc w:val="left"/>
        <w:rPr/>
      </w:pPr>
      <w:r>
        <w:rPr/>
        <w:t>“</w:t>
      </w:r>
      <w:r>
        <w:rPr>
          <w:rFonts w:ascii="Times New Roman" w:hAnsi="Times New Roman"/>
          <w:i/>
          <w:sz w:val="20"/>
        </w:rPr>
        <w:t>Good Reason”</w:t>
      </w:r>
      <w:r>
        <w:rPr>
          <w:rFonts w:ascii="Times New Roman" w:hAnsi="Times New Roman"/>
          <w:sz w:val="20"/>
        </w:rPr>
        <w:t xml:space="preserve"> shall have the meaning set forth in a Grantee’s employment agreement or consulting agreement, if any, unless otherwise set forth in the applicable Award Agreement or, in the case that no employment agreement, consulting agreement, or Award Agreement contains a definition of “Good Reason,” it shall mean (i) a material diminution in the Grantee’s base salary except for across-the-board salary reductions similarly affecting all or substantially all similarly situated Employees of the Company or (ii) a change of more than 50 miles in the geographic location at which the Grantee provides services to the Company; </w:t>
      </w:r>
      <w:r>
        <w:rPr>
          <w:rFonts w:ascii="Times New Roman" w:hAnsi="Times New Roman"/>
          <w:i/>
          <w:sz w:val="20"/>
        </w:rPr>
        <w:t>provided</w:t>
      </w:r>
      <w:r>
        <w:rPr>
          <w:rFonts w:ascii="Times New Roman" w:hAnsi="Times New Roman"/>
          <w:sz w:val="20"/>
        </w:rPr>
        <w:t xml:space="preserve">, that any claim for “Good Reason” shall be deemed waived unless (x) the Grantee provides written notice to the Company within 30 days following the initial occurrence of any such event, (y) the Company fails to cure such event within 30 days of such written notice, and (z) such Grantee actually terminates employment or service within five business days of the conclusion of such cure period. </w:t>
      </w:r>
    </w:p>
    <w:p>
      <w:pPr>
        <w:pStyle w:val="TextBody"/>
        <w:bidi w:val="0"/>
        <w:spacing w:before="240" w:after="0"/>
        <w:jc w:val="left"/>
        <w:rPr/>
      </w:pPr>
      <w:r>
        <w:rPr/>
        <w:t>“</w:t>
      </w:r>
      <w:r>
        <w:rPr>
          <w:rFonts w:ascii="Times New Roman" w:hAnsi="Times New Roman"/>
          <w:i/>
          <w:sz w:val="20"/>
        </w:rPr>
        <w:t>Grantee</w:t>
      </w:r>
      <w:r>
        <w:rPr>
          <w:rFonts w:ascii="Times New Roman" w:hAnsi="Times New Roman"/>
          <w:sz w:val="20"/>
        </w:rPr>
        <w:t xml:space="preserve">” means an Employee, a Non-Employee Director, or a Consultant that has been granted an Award under the Plan. </w:t>
      </w:r>
    </w:p>
    <w:p>
      <w:pPr>
        <w:pStyle w:val="TextBody"/>
        <w:bidi w:val="0"/>
        <w:spacing w:before="240" w:after="0"/>
        <w:jc w:val="left"/>
        <w:rPr/>
      </w:pPr>
      <w:r>
        <w:rPr/>
        <w:t>“</w:t>
      </w:r>
      <w:r>
        <w:rPr>
          <w:rFonts w:ascii="Times New Roman" w:hAnsi="Times New Roman"/>
          <w:i/>
          <w:sz w:val="20"/>
        </w:rPr>
        <w:t>Incentive Stock Option”</w:t>
      </w:r>
      <w:r>
        <w:rPr>
          <w:rFonts w:ascii="Times New Roman" w:hAnsi="Times New Roman"/>
          <w:sz w:val="20"/>
        </w:rPr>
        <w:t xml:space="preserve"> means any Stock Option designated and qualified as an “incentive stock option” as defined in Section 422 of the Code. </w:t>
      </w:r>
    </w:p>
    <w:p>
      <w:pPr>
        <w:pStyle w:val="TextBody"/>
        <w:bidi w:val="0"/>
        <w:spacing w:before="240" w:after="0"/>
        <w:jc w:val="left"/>
        <w:rPr/>
      </w:pPr>
      <w:r>
        <w:rPr/>
        <w:t>“</w:t>
      </w:r>
      <w:r>
        <w:rPr>
          <w:rFonts w:ascii="Times New Roman" w:hAnsi="Times New Roman"/>
          <w:i/>
          <w:sz w:val="20"/>
        </w:rPr>
        <w:t>Non-Employee Director”</w:t>
      </w:r>
      <w:r>
        <w:rPr>
          <w:rFonts w:ascii="Times New Roman" w:hAnsi="Times New Roman"/>
          <w:sz w:val="20"/>
        </w:rPr>
        <w:t xml:space="preserve"> means a member of the Board who is not also an Employee of the Company or any Subsidiary. </w:t>
      </w:r>
    </w:p>
    <w:p>
      <w:pPr>
        <w:pStyle w:val="TextBody"/>
        <w:bidi w:val="0"/>
        <w:spacing w:before="240" w:after="0"/>
        <w:jc w:val="left"/>
        <w:rPr/>
      </w:pPr>
      <w:r>
        <w:rPr/>
        <w:t>“</w:t>
      </w:r>
      <w:r>
        <w:rPr>
          <w:rFonts w:ascii="Times New Roman" w:hAnsi="Times New Roman"/>
          <w:i/>
          <w:sz w:val="20"/>
        </w:rPr>
        <w:t>Non-Qualified Stock Option”</w:t>
      </w:r>
      <w:r>
        <w:rPr>
          <w:rFonts w:ascii="Times New Roman" w:hAnsi="Times New Roman"/>
          <w:sz w:val="20"/>
        </w:rPr>
        <w:t xml:space="preserve"> means any Stock Option that is not an Incentive Stock Option. </w:t>
      </w:r>
    </w:p>
    <w:p>
      <w:pPr>
        <w:pStyle w:val="TextBody"/>
        <w:bidi w:val="0"/>
        <w:spacing w:before="240" w:after="0"/>
        <w:jc w:val="left"/>
        <w:rPr/>
      </w:pPr>
      <w:r>
        <w:rPr/>
        <w:t>“</w:t>
      </w:r>
      <w:r>
        <w:rPr>
          <w:rFonts w:ascii="Times New Roman" w:hAnsi="Times New Roman"/>
          <w:i/>
          <w:sz w:val="20"/>
        </w:rPr>
        <w:t>Option”</w:t>
      </w:r>
      <w:r>
        <w:rPr>
          <w:rFonts w:ascii="Times New Roman" w:hAnsi="Times New Roman"/>
          <w:sz w:val="20"/>
        </w:rPr>
        <w:t xml:space="preserve"> or “</w:t>
      </w:r>
      <w:r>
        <w:rPr>
          <w:rFonts w:ascii="Times New Roman" w:hAnsi="Times New Roman"/>
          <w:i/>
          <w:sz w:val="20"/>
        </w:rPr>
        <w:t>Stock Option”</w:t>
      </w:r>
      <w:r>
        <w:rPr>
          <w:rFonts w:ascii="Times New Roman" w:hAnsi="Times New Roman"/>
          <w:sz w:val="20"/>
        </w:rPr>
        <w:t xml:space="preserve"> means any option to purchase Shares granted pursuant to Section 5. </w:t>
      </w:r>
    </w:p>
    <w:p>
      <w:pPr>
        <w:pStyle w:val="TextBody"/>
        <w:bidi w:val="0"/>
        <w:spacing w:before="240" w:after="0"/>
        <w:jc w:val="left"/>
        <w:rPr/>
      </w:pPr>
      <w:r>
        <w:rPr/>
        <w:t>“</w:t>
      </w:r>
      <w:r>
        <w:rPr>
          <w:rFonts w:ascii="Times New Roman" w:hAnsi="Times New Roman"/>
          <w:i/>
          <w:sz w:val="20"/>
        </w:rPr>
        <w:t xml:space="preserve">Registration Date” </w:t>
      </w:r>
      <w:r>
        <w:rPr>
          <w:rFonts w:ascii="Times New Roman" w:hAnsi="Times New Roman"/>
          <w:sz w:val="20"/>
        </w:rPr>
        <w:t xml:space="preserve">means the date upon which the registration statement on Form S-1 that is filed by the Company with respect to its initial public offering is declared effective by the Securities and Exchange Commission.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Restricted Shares”</w:t>
      </w:r>
      <w:r>
        <w:rPr>
          <w:rFonts w:ascii="Times New Roman" w:hAnsi="Times New Roman"/>
          <w:sz w:val="20"/>
        </w:rPr>
        <w:t xml:space="preserve"> means the Shares underlying a Restricted Stock Award that remain subject to a risk of forfeiture or the Company’s right of repurchase. </w:t>
      </w:r>
    </w:p>
    <w:p>
      <w:pPr>
        <w:pStyle w:val="TextBody"/>
        <w:bidi w:val="0"/>
        <w:spacing w:before="240" w:after="0"/>
        <w:jc w:val="left"/>
        <w:rPr/>
      </w:pPr>
      <w:r>
        <w:rPr/>
        <w:t>“</w:t>
      </w:r>
      <w:r>
        <w:rPr>
          <w:rFonts w:ascii="Times New Roman" w:hAnsi="Times New Roman"/>
          <w:i/>
          <w:sz w:val="20"/>
        </w:rPr>
        <w:t>Restricted Stock Award”</w:t>
      </w:r>
      <w:r>
        <w:rPr>
          <w:rFonts w:ascii="Times New Roman" w:hAnsi="Times New Roman"/>
          <w:sz w:val="20"/>
        </w:rPr>
        <w:t xml:space="preserve"> means an Award of Restricted Shares subject to such restrictions and conditions as the Administrator may determine at the time of grant. </w:t>
      </w:r>
    </w:p>
    <w:p>
      <w:pPr>
        <w:pStyle w:val="TextBody"/>
        <w:bidi w:val="0"/>
        <w:spacing w:before="240" w:after="0"/>
        <w:jc w:val="left"/>
        <w:rPr/>
      </w:pPr>
      <w:r>
        <w:rPr/>
        <w:t>“</w:t>
      </w:r>
      <w:r>
        <w:rPr>
          <w:rFonts w:ascii="Times New Roman" w:hAnsi="Times New Roman"/>
          <w:i/>
          <w:sz w:val="20"/>
        </w:rPr>
        <w:t>Restricted Stock Units”</w:t>
      </w:r>
      <w:r>
        <w:rPr>
          <w:rFonts w:ascii="Times New Roman" w:hAnsi="Times New Roman"/>
          <w:sz w:val="20"/>
        </w:rPr>
        <w:t xml:space="preserve"> means an Award of stock units subject to such restrictions and conditions as the Administrator may determine at the time of grant. </w:t>
      </w:r>
    </w:p>
    <w:p>
      <w:pPr>
        <w:pStyle w:val="TextBody"/>
        <w:bidi w:val="0"/>
        <w:spacing w:before="240" w:after="0"/>
        <w:jc w:val="left"/>
        <w:rPr/>
      </w:pPr>
      <w:r>
        <w:rPr/>
        <w:t>“</w:t>
      </w:r>
      <w:r>
        <w:rPr>
          <w:rFonts w:ascii="Times New Roman" w:hAnsi="Times New Roman"/>
          <w:i/>
          <w:sz w:val="20"/>
        </w:rPr>
        <w:t>Sale Event”</w:t>
      </w:r>
      <w:r>
        <w:rPr>
          <w:rFonts w:ascii="Times New Roman" w:hAnsi="Times New Roman"/>
          <w:sz w:val="20"/>
        </w:rPr>
        <w:t xml:space="preserve"> shall mean (i) the sale of all or substantially all of the assets of the Company on a consolidated basis to an unrelated person or entity, (ii) a merger, reorganization or consolidation pursuant to which the holders of the Company’s outstanding voting power and outstanding shares immediately prior to such transaction do not own a majority of the outstanding voting power and outstanding shares or other equity interests of the resulting or successor entity (or its ultimate parent, if applicable) immediately upon completion of such transaction, (iii) the sale of all of the Shares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the event an Award is subject to Section 409A, no such event shall constitute a payment event unless such event is also a change of control event as defined by Section 409A. </w:t>
      </w:r>
    </w:p>
    <w:p>
      <w:pPr>
        <w:pStyle w:val="TextBody"/>
        <w:bidi w:val="0"/>
        <w:spacing w:before="240" w:after="0"/>
        <w:jc w:val="left"/>
        <w:rPr/>
      </w:pPr>
      <w:r>
        <w:rPr/>
        <w:t>“</w:t>
      </w:r>
      <w:r>
        <w:rPr>
          <w:rFonts w:ascii="Times New Roman" w:hAnsi="Times New Roman"/>
          <w:i/>
          <w:sz w:val="20"/>
        </w:rPr>
        <w:t>Sale Price</w:t>
      </w:r>
      <w:r>
        <w:rPr>
          <w:rFonts w:ascii="Times New Roman" w:hAnsi="Times New Roman"/>
          <w:sz w:val="20"/>
        </w:rPr>
        <w:t xml:space="preserve">” means the value as determined by the Administrator of the consideration payable, or otherwise to be received by shareholders, per Share pursuant to a Sale Event. </w:t>
      </w:r>
    </w:p>
    <w:p>
      <w:pPr>
        <w:pStyle w:val="TextBody"/>
        <w:bidi w:val="0"/>
        <w:spacing w:before="240" w:after="0"/>
        <w:jc w:val="left"/>
        <w:rPr/>
      </w:pPr>
      <w:r>
        <w:rPr/>
        <w:t>“</w:t>
      </w:r>
      <w:r>
        <w:rPr>
          <w:rFonts w:ascii="Times New Roman" w:hAnsi="Times New Roman"/>
          <w:i/>
          <w:sz w:val="20"/>
        </w:rPr>
        <w:t>Section</w:t>
      </w:r>
      <w:r>
        <w:rPr>
          <w:rFonts w:ascii="Times New Roman" w:hAnsi="Times New Roman"/>
          <w:sz w:val="20"/>
        </w:rPr>
        <w:t> </w:t>
      </w:r>
      <w:r>
        <w:rPr>
          <w:rFonts w:ascii="Times New Roman" w:hAnsi="Times New Roman"/>
          <w:i/>
          <w:sz w:val="20"/>
        </w:rPr>
        <w:t>409A”</w:t>
      </w:r>
      <w:r>
        <w:rPr>
          <w:rFonts w:ascii="Times New Roman" w:hAnsi="Times New Roman"/>
          <w:sz w:val="20"/>
        </w:rPr>
        <w:t xml:space="preserve"> means Section 409A of the Code and the regulations and other guidance promulgated thereunder. </w:t>
      </w:r>
    </w:p>
    <w:p>
      <w:pPr>
        <w:pStyle w:val="TextBody"/>
        <w:bidi w:val="0"/>
        <w:spacing w:before="240" w:after="0"/>
        <w:jc w:val="left"/>
        <w:rPr/>
      </w:pPr>
      <w:r>
        <w:rPr/>
        <w:t>“</w:t>
      </w:r>
      <w:r>
        <w:rPr>
          <w:rFonts w:ascii="Times New Roman" w:hAnsi="Times New Roman"/>
          <w:i/>
          <w:sz w:val="20"/>
        </w:rPr>
        <w:t xml:space="preserve">Service Relationship” </w:t>
      </w:r>
      <w:r>
        <w:rPr>
          <w:rFonts w:ascii="Times New Roman" w:hAnsi="Times New Roman"/>
          <w:sz w:val="20"/>
        </w:rPr>
        <w:t xml:space="preserve">means any relationship as an Employee, Non-Employee Director or Consultant of the Company or any Affiliate (e.g., a Service Relationship shall be deemed to continue without interruption in the event an individual’s status changes from full-time Employee to part-time Employee or Consultant). Notwithstanding anything to the contrary contained in the Plan, an Award Agreement, or otherwise, the following shall not constitute a termination of a Grantee’s Service Relationship: (i) a transfer to the service of the Company from an Affiliate or from the Company to an Affiliate, or from one Affiliate to another Affiliate or (ii) an approved leave of absence for military service or sickness, or for any other purpose approved by the Administrator, if the individual’s right to re-employment is guaranteed either by a statute or by contract or under the policy pursuant to which the leave of absence was granted or if the Administrator otherwise so provides in writing. </w:t>
      </w:r>
    </w:p>
    <w:p>
      <w:pPr>
        <w:pStyle w:val="TextBody"/>
        <w:bidi w:val="0"/>
        <w:spacing w:before="240" w:after="0"/>
        <w:jc w:val="left"/>
        <w:rPr/>
      </w:pPr>
      <w:r>
        <w:rPr/>
        <w:t>“</w:t>
      </w:r>
      <w:r>
        <w:rPr>
          <w:rFonts w:ascii="Times New Roman" w:hAnsi="Times New Roman"/>
          <w:i/>
          <w:sz w:val="20"/>
        </w:rPr>
        <w:t>Shares”</w:t>
      </w:r>
      <w:r>
        <w:rPr>
          <w:rFonts w:ascii="Times New Roman" w:hAnsi="Times New Roman"/>
          <w:sz w:val="20"/>
        </w:rPr>
        <w:t xml:space="preserve"> means the Ordinary Shares, par value $0.00001 per share, of the Company, subject to adjustments pursuant to Section 3. </w:t>
      </w:r>
    </w:p>
    <w:p>
      <w:pPr>
        <w:pStyle w:val="TextBody"/>
        <w:bidi w:val="0"/>
        <w:spacing w:before="240" w:after="0"/>
        <w:jc w:val="left"/>
        <w:rPr/>
      </w:pPr>
      <w:r>
        <w:rPr/>
        <w:t>“</w:t>
      </w:r>
      <w:r>
        <w:rPr>
          <w:rFonts w:ascii="Times New Roman" w:hAnsi="Times New Roman"/>
          <w:i/>
          <w:sz w:val="20"/>
        </w:rPr>
        <w:t>Stock Appreciation Right”</w:t>
      </w:r>
      <w:r>
        <w:rPr>
          <w:rFonts w:ascii="Times New Roman" w:hAnsi="Times New Roman"/>
          <w:sz w:val="20"/>
        </w:rPr>
        <w:t xml:space="preserve"> means an Award entitling the recipient to receive Shares (or cash, to the extent explicitly provided for in the applicable Award Agreement) having a value equal to the excess of the Fair Market Value of the Shares on the date of exercise over the exercise price of the Stock Appreciation Right multiplied by the number of Shares with respect to which the Stock Appreciation Right shall have been exercised. </w:t>
      </w:r>
    </w:p>
    <w:p>
      <w:pPr>
        <w:pStyle w:val="TextBody"/>
        <w:bidi w:val="0"/>
        <w:spacing w:before="240" w:after="0"/>
        <w:jc w:val="left"/>
        <w:rPr/>
      </w:pPr>
      <w:r>
        <w:rPr/>
        <w:t>“</w:t>
      </w:r>
      <w:r>
        <w:rPr>
          <w:rFonts w:ascii="Times New Roman" w:hAnsi="Times New Roman"/>
          <w:i/>
          <w:sz w:val="20"/>
        </w:rPr>
        <w:t>Subsidiary”</w:t>
      </w:r>
      <w:r>
        <w:rPr>
          <w:rFonts w:ascii="Times New Roman" w:hAnsi="Times New Roman"/>
          <w:sz w:val="20"/>
        </w:rPr>
        <w:t xml:space="preserve"> means any corporation or other entity (other than the Company) in which the Company has at least a 50 percent interest, either directly or indirectly. </w:t>
      </w:r>
    </w:p>
    <w:p>
      <w:pPr>
        <w:pStyle w:val="TextBody"/>
        <w:bidi w:val="0"/>
        <w:spacing w:before="240" w:after="0"/>
        <w:jc w:val="left"/>
        <w:rPr/>
      </w:pPr>
      <w:r>
        <w:rPr/>
        <w:t>“</w:t>
      </w:r>
      <w:r>
        <w:rPr>
          <w:rFonts w:ascii="Times New Roman" w:hAnsi="Times New Roman"/>
          <w:i/>
          <w:sz w:val="20"/>
        </w:rPr>
        <w:t>Ten Percent Owner”</w:t>
      </w:r>
      <w:r>
        <w:rPr>
          <w:rFonts w:ascii="Times New Roman" w:hAnsi="Times New Roman"/>
          <w:sz w:val="20"/>
        </w:rPr>
        <w:t xml:space="preserve"> means an Employee who owns or is deemed to own (by reason of the attribution rules of Section 424(d) of the Code) more than 10 percent of the combined voting power of all classes of shares of the Company or any parent or subsidiary corporation. </w:t>
      </w:r>
    </w:p>
    <w:p>
      <w:pPr>
        <w:pStyle w:val="TextBody"/>
        <w:bidi w:val="0"/>
        <w:spacing w:before="240" w:after="0"/>
        <w:jc w:val="left"/>
        <w:rPr/>
      </w:pPr>
      <w:r>
        <w:rPr/>
        <w:t>“</w:t>
      </w:r>
      <w:r>
        <w:rPr>
          <w:rFonts w:ascii="Times New Roman" w:hAnsi="Times New Roman"/>
          <w:i/>
          <w:sz w:val="20"/>
        </w:rPr>
        <w:t>Unrestricted Stock Award”</w:t>
      </w:r>
      <w:r>
        <w:rPr>
          <w:rFonts w:ascii="Times New Roman" w:hAnsi="Times New Roman"/>
          <w:sz w:val="20"/>
        </w:rPr>
        <w:t xml:space="preserve"> means an Award of Shares free of any restrictions.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ADMINISTRATION OF PLAN; ADMINISTRATOR AUTHORITY TO SELECT GRANTEES AND DETERMINE AWARDS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Administration of Plan</w:t>
      </w:r>
      <w:r>
        <w:rPr>
          <w:rFonts w:ascii="Times New Roman" w:hAnsi="Times New Roman"/>
          <w:sz w:val="20"/>
        </w:rPr>
        <w:t xml:space="preserve">. The Plan shall be administered by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Powers of Administrator</w:t>
      </w:r>
      <w:r>
        <w:rPr>
          <w:rFonts w:ascii="Times New Roman" w:hAnsi="Times New Roman"/>
          <w:sz w:val="20"/>
        </w:rPr>
        <w:t xml:space="preserve">. The Administrator shall have the power and authority to grant Awards consistent with the terms of the Plan, including the power and authority: </w:t>
      </w:r>
    </w:p>
    <w:p>
      <w:pPr>
        <w:pStyle w:val="TextBody"/>
        <w:bidi w:val="0"/>
        <w:spacing w:before="240" w:after="0"/>
        <w:jc w:val="left"/>
        <w:rPr>
          <w:rFonts w:ascii="Times New Roman" w:hAnsi="Times New Roman"/>
          <w:sz w:val="20"/>
        </w:rPr>
      </w:pPr>
      <w:r>
        <w:rPr>
          <w:rFonts w:ascii="Times New Roman" w:hAnsi="Times New Roman"/>
          <w:sz w:val="20"/>
        </w:rPr>
        <w:t xml:space="preserve">(i) to select the individuals to whom Awards may from time to time be granted; </w:t>
      </w:r>
    </w:p>
    <w:p>
      <w:pPr>
        <w:pStyle w:val="TextBody"/>
        <w:bidi w:val="0"/>
        <w:spacing w:before="240" w:after="0"/>
        <w:jc w:val="left"/>
        <w:rPr>
          <w:rFonts w:ascii="Times New Roman" w:hAnsi="Times New Roman"/>
          <w:sz w:val="20"/>
        </w:rPr>
      </w:pPr>
      <w:r>
        <w:rPr>
          <w:rFonts w:ascii="Times New Roman" w:hAnsi="Times New Roman"/>
          <w:sz w:val="20"/>
        </w:rPr>
        <w:t xml:space="preserve">(ii) 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 </w:t>
      </w:r>
    </w:p>
    <w:p>
      <w:pPr>
        <w:pStyle w:val="TextBody"/>
        <w:bidi w:val="0"/>
        <w:spacing w:before="240" w:after="0"/>
        <w:jc w:val="left"/>
        <w:rPr>
          <w:rFonts w:ascii="Times New Roman" w:hAnsi="Times New Roman"/>
          <w:sz w:val="20"/>
        </w:rPr>
      </w:pPr>
      <w:r>
        <w:rPr>
          <w:rFonts w:ascii="Times New Roman" w:hAnsi="Times New Roman"/>
          <w:sz w:val="20"/>
        </w:rPr>
        <w:t xml:space="preserve">(iii) to determine the number of Shares to be covered by any Award and, subject to the provisions of the Plan, the price, exercise price, conversion ratio or other price relating thereto; </w:t>
      </w:r>
    </w:p>
    <w:p>
      <w:pPr>
        <w:pStyle w:val="TextBody"/>
        <w:bidi w:val="0"/>
        <w:spacing w:before="240" w:after="0"/>
        <w:jc w:val="left"/>
        <w:rPr>
          <w:rFonts w:ascii="Times New Roman" w:hAnsi="Times New Roman"/>
          <w:sz w:val="20"/>
        </w:rPr>
      </w:pPr>
      <w:r>
        <w:rPr>
          <w:rFonts w:ascii="Times New Roman" w:hAnsi="Times New Roman"/>
          <w:sz w:val="20"/>
        </w:rPr>
        <w:t xml:space="preserve">(iv) to determine and modify from time to time the terms and conditions, including restrictions, not inconsistent with the terms of the Plan, of any Award, which terms and conditions may differ among individual Awards and Grantees, and to approve the forms of Award Agreements; </w:t>
      </w:r>
    </w:p>
    <w:p>
      <w:pPr>
        <w:pStyle w:val="TextBody"/>
        <w:bidi w:val="0"/>
        <w:spacing w:before="240" w:after="0"/>
        <w:jc w:val="left"/>
        <w:rPr>
          <w:rFonts w:ascii="Times New Roman" w:hAnsi="Times New Roman"/>
          <w:sz w:val="20"/>
        </w:rPr>
      </w:pPr>
      <w:r>
        <w:rPr>
          <w:rFonts w:ascii="Times New Roman" w:hAnsi="Times New Roman"/>
          <w:sz w:val="20"/>
        </w:rPr>
        <w:t xml:space="preserve">(v) to accelerate at any time the exercisability or vesting of all or any portion of any Award; </w:t>
      </w:r>
    </w:p>
    <w:p>
      <w:pPr>
        <w:pStyle w:val="TextBody"/>
        <w:bidi w:val="0"/>
        <w:spacing w:before="240" w:after="0"/>
        <w:jc w:val="left"/>
        <w:rPr>
          <w:rFonts w:ascii="Times New Roman" w:hAnsi="Times New Roman"/>
          <w:sz w:val="20"/>
        </w:rPr>
      </w:pPr>
      <w:r>
        <w:rPr>
          <w:rFonts w:ascii="Times New Roman" w:hAnsi="Times New Roman"/>
          <w:sz w:val="20"/>
        </w:rPr>
        <w:t xml:space="preserve">(vi) to impose any limitations and/or vesting conditions on Awards; </w:t>
      </w:r>
    </w:p>
    <w:p>
      <w:pPr>
        <w:pStyle w:val="TextBody"/>
        <w:bidi w:val="0"/>
        <w:spacing w:before="240" w:after="0"/>
        <w:jc w:val="left"/>
        <w:rPr>
          <w:rFonts w:ascii="Times New Roman" w:hAnsi="Times New Roman"/>
          <w:sz w:val="20"/>
        </w:rPr>
      </w:pPr>
      <w:r>
        <w:rPr>
          <w:rFonts w:ascii="Times New Roman" w:hAnsi="Times New Roman"/>
          <w:sz w:val="20"/>
        </w:rPr>
        <w:t xml:space="preserve">(vii) subject to the provisions of Sections 5(c) and 6(d) and any restrictions imposed by Section 409A, to extend at any time the period in which Stock Options or Stock Appreciation Rights may be exercised; and </w:t>
      </w:r>
    </w:p>
    <w:p>
      <w:pPr>
        <w:pStyle w:val="TextBody"/>
        <w:bidi w:val="0"/>
        <w:spacing w:before="240" w:after="0"/>
        <w:jc w:val="left"/>
        <w:rPr>
          <w:rFonts w:ascii="Times New Roman" w:hAnsi="Times New Roman"/>
          <w:sz w:val="20"/>
        </w:rPr>
      </w:pPr>
      <w:r>
        <w:rPr>
          <w:rFonts w:ascii="Times New Roman" w:hAnsi="Times New Roman"/>
          <w:sz w:val="20"/>
        </w:rPr>
        <w:t xml:space="preserve">(viii) 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 </w:t>
      </w:r>
    </w:p>
    <w:p>
      <w:pPr>
        <w:pStyle w:val="TextBody"/>
        <w:bidi w:val="0"/>
        <w:spacing w:before="240" w:after="0"/>
        <w:jc w:val="left"/>
        <w:rPr>
          <w:rFonts w:ascii="Times New Roman" w:hAnsi="Times New Roman"/>
          <w:sz w:val="20"/>
        </w:rPr>
      </w:pPr>
      <w:r>
        <w:rPr>
          <w:rFonts w:ascii="Times New Roman" w:hAnsi="Times New Roman"/>
          <w:sz w:val="20"/>
        </w:rPr>
        <w:t xml:space="preserve">All decisions and interpretations of the Administrator shall be binding on all persons, including the Company and Grantees.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Delegation of Authority to Grant Awards</w:t>
      </w:r>
      <w:r>
        <w:rPr>
          <w:rFonts w:ascii="Times New Roman" w:hAnsi="Times New Roman"/>
          <w:sz w:val="20"/>
        </w:rPr>
        <w:t>. Subject to applicable law, the Administrator, in its discretion, may delegate to a committee consisting of one or more officers of the Company including the Chief Executive Officer (the “CEO”) of the Company or a committee consisting of the CEO or one or more other officers of the Company (the CEO or such committee, as applicable, the “</w:t>
      </w:r>
      <w:r>
        <w:rPr>
          <w:rFonts w:ascii="Times New Roman" w:hAnsi="Times New Roman"/>
          <w:sz w:val="20"/>
          <w:u w:val="single"/>
        </w:rPr>
        <w:t>Officer Committee</w:t>
      </w:r>
      <w:r>
        <w:rPr>
          <w:rFonts w:ascii="Times New Roman" w:hAnsi="Times New Roman"/>
          <w:sz w:val="20"/>
        </w:rPr>
        <w:t>”) all or part of the Administrator’s authority and duties with respect to the granting of Awards (the “</w:t>
      </w:r>
      <w:r>
        <w:rPr>
          <w:rFonts w:ascii="Times New Roman" w:hAnsi="Times New Roman"/>
          <w:sz w:val="20"/>
          <w:u w:val="single"/>
        </w:rPr>
        <w:t>Delegated Awards</w:t>
      </w:r>
      <w:r>
        <w:rPr>
          <w:rFonts w:ascii="Times New Roman" w:hAnsi="Times New Roman"/>
          <w:sz w:val="20"/>
        </w:rPr>
        <w:t xml:space="preserve">”) to individuals who are (i) not subject to the reporting and other provisions of Section 16 of the Exchange Act and (ii) not members of the delegated committee. Any such delegation by the Administrator shall include a limitation as to the amount of Shares underlying Awards that may be granted during the period of the delegation and shall contain guidelines as to the determination of the exercise price and the vesting criteria.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Administrator may revoke or amend the terms of a delegation at any time, but such action shall not invalidate any prior actions of the Administrator’s delegate or delegates that were consistent with the terms of the Plan. Additionally, in order to evidence the Officer Committee’s approval of Delegated Award grants pursuant to any delegation of authority, the Company shall compile a record prior to each grant date documenting the Offer Committee’s approval of Delegated Award grants. Such record will list the name of each grantee, the type and amount of Delegated Awards approved for grant (including, if applicable, the exercise prices), the grant date, the vesting schedule for the Delegated Awards and any other non-standard material terms.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Award Agreement</w:t>
      </w:r>
      <w:r>
        <w:rPr>
          <w:rFonts w:ascii="Times New Roman" w:hAnsi="Times New Roman"/>
          <w:sz w:val="20"/>
        </w:rPr>
        <w:t xml:space="preserve">. Awards under the Plan shall be evidenced by Award Agreements that set forth the terms, conditions and limitations for each Award which may include, without limitation, the term of an Award and the provisions applicable in the event employment or service terminates.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Indemnification</w:t>
      </w:r>
      <w:r>
        <w:rPr>
          <w:rFonts w:ascii="Times New Roman" w:hAnsi="Times New Roman"/>
          <w:sz w:val="20"/>
        </w:rPr>
        <w:t xml:space="preserve">.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cases to indemnification and reimbursement by the Company in respect of any claim, loss, damage or expense (including, without limitation, reasonable attorneys’ fees) arising or resulting therefrom to the fullest extent permitted by law and/or under the Company’s memorandum and articles of association or any directors’ and officers’ liability insurance coverage which may be in effect from time to time and/or any indemnification agreement between such individual and the Company.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Foreign Award Recipients</w:t>
      </w:r>
      <w:r>
        <w:rPr>
          <w:rFonts w:ascii="Times New Roman" w:hAnsi="Times New Roman"/>
          <w:sz w:val="20"/>
        </w:rPr>
        <w:t xml:space="preserve">. Notwithstanding any provision of the Plan to the contrary, in order to comply with the laws in other countries in which the Company and its Affiliates operate or have Employees or other individuals eligible for Awards, the Administrator, in its sole discretion, shall have the power and authority to: (i) determine which Affiliates shall be covered by the Plan; (ii) determine which individuals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Administrator determines such actions to be necessary or advisable (and such subplans and/or modifications shall be attached to this Plan as appendices);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such subplans and/or modifications shall increase the share limitations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violate the Exchange Act or any other applicable United States securities law, the Code, or any other applicable United States governing statute or law.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SHARES ISSUABLE UNDER THE PLAN; MERGERS; SUBSTITUTION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Shares Issuable</w:t>
      </w:r>
      <w:r>
        <w:rPr>
          <w:rFonts w:ascii="Times New Roman" w:hAnsi="Times New Roman"/>
          <w:sz w:val="20"/>
        </w:rPr>
        <w:t xml:space="preserve">. The maximum number of Shares reserved and available for issuance under the Plan shall be 67,434 shares (the “Initial Limit”), subject to adjustment as provided in this Section 3, plus on January 1, 2021 and each January 1 thereafter, the number of shares of Stock reserved and available for issuance under the Plan shall be cumulatively increased by 5 percent of the number of shares of Stock issued and outstanding on the immediately preceding December 31 (the “Annual Increase”). Subject to such overall limitation, the maximum aggregate number of shares of Stock that may be issued in the form of Incentive Stock Options shall not exceed the Initial Limit cumulatively increased on January 1, 2021 and on each January 1 thereafter by the lesser of the Annual Increase for such year or 56,195 shares of Stock, subject in all cases to adjustment as provided in this Section 3. For purposes of this limitation, the Shares underlying any awards under the Plan and under the Company’s Prior Plan that are forfeited, canceled or otherwise terminated shall be added back to the Shares available for issuance under the Plan and, to the extent permitted under Section 422 of the Code and the regulations promulgated thereunder, the Shares that may be issued as Incentive Stock Options. In the event the Company repurchases Shares on the open market, such shares shall be added to the Shares available for issuance under the Plan. Subject to such overall limitations, Shares may be issued up to such maximum number pursuant to any type or types of Award. The shares available for issuance under the Plan may be authorized but unissued Shares or Shares reacquired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Changes in Shares</w:t>
      </w:r>
      <w:r>
        <w:rPr>
          <w:rFonts w:ascii="Times New Roman" w:hAnsi="Times New Roman"/>
          <w:sz w:val="20"/>
        </w:rPr>
        <w:t xml:space="preserve">. Subject to Section 3(c) hereof, if, as a result of any reorganization, recapitalization, reclassification, share dividend, share split, reverse share split or other similar change in the Company’s share capital, the outstanding Shares are increased or decreased or are exchanged for a different number or kind of shares or other securities of the Company, or additional shares or new or different shares or other securities of the Company or other non-cash assets are distributed with respect to such Shares or other securities, or, if, as a result of any merger or consolidation, sale of all or substantially all of the assets of the Company, the outstanding Shares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 (ii) 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extraordinary corporate event. The adjustment by the Administrator shall be final, binding and conclusive. No fractional Shares shall be issued under the Plan resulting from any such adjustment, but the Administrator in its discretion may make a cash payment in lieu of fractional shares.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Mergers and Other Transactions</w:t>
      </w:r>
      <w:r>
        <w:rPr>
          <w:rFonts w:ascii="Times New Roman" w:hAnsi="Times New Roman"/>
          <w:sz w:val="20"/>
        </w:rPr>
        <w:t>.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Agreement, all Options and Stock Appreciation Rights with time-based vesting conditions or restrictions that are not vested and/or exercisable immediately prior to the effective time of the Sale Event shall become fully vested and exercisable as of the effective time of the Sale Event, all other Awards with time-based vesting, conditions or restrictions shall become fully vested and nonforfeitable as of the effective time of the Sale Event, and all Awards with conditions and restrictions relating to the attainment of performance goals may become vested and nonforfeitable in connection with a Sale Event in the Administrator’s discretion or to the extent specified in the relevant Award Agreement.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subject to outstanding Options and Stock Appreciation Rights (to the extent then exercisable at prices not in excess of the Sale Price) and (B) the aggregate exercise price of all such outstanding Options and Stock Appreciation Rights (</w:t>
      </w:r>
      <w:r>
        <w:rPr>
          <w:rFonts w:ascii="Times New Roman" w:hAnsi="Times New Roman"/>
          <w:i/>
          <w:sz w:val="20"/>
        </w:rPr>
        <w:t>provided</w:t>
      </w:r>
      <w:r>
        <w:rPr>
          <w:rFonts w:ascii="Times New Roman" w:hAnsi="Times New Roman"/>
          <w:sz w:val="20"/>
        </w:rPr>
        <w:t xml:space="preserve"> that, in the case of an Option or Stock Appreciation Right with an exercise price equal to or greater than the Sale Price, such Option or Stock Appreciation Right shall be cancelled for no consideration); or (ii) each Grantee shall be permitted, within a specified period of time prior to the consummation of the Sale Event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holding other Awards in an amount equal to the Sale Price multiplied by the number of vested Shares under such Awards.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Maximum Awards to Non-Employee Directors</w:t>
      </w:r>
      <w:r>
        <w:rPr>
          <w:rFonts w:ascii="Times New Roman" w:hAnsi="Times New Roman"/>
          <w:sz w:val="20"/>
        </w:rPr>
        <w:t>. Notwithstanding anything to the contrary in this Plan, neither (i) the value of all equity- and equity-based Awards awarded under this Plan at or following the Registration Date paid by the Company to any Non-Employee Director for service as a Non-Employee Director in any calendar year, shall exceed $500,000 nor (ii) shall the value of all Awards awarded under this Plan at or following the Registration Date paid by the Company to any Non-Employee Director for service as a Non-Employee Director, when combined with any additional cash amounts (including retainers) paid to such person in any calendar year, exceed $750,000 (the “</w:t>
      </w:r>
      <w:r>
        <w:rPr>
          <w:rFonts w:ascii="Times New Roman" w:hAnsi="Times New Roman"/>
          <w:sz w:val="20"/>
          <w:u w:val="single"/>
        </w:rPr>
        <w:t>Director Limit</w:t>
      </w:r>
      <w:r>
        <w:rPr>
          <w:rFonts w:ascii="Times New Roman" w:hAnsi="Times New Roman"/>
          <w:sz w:val="20"/>
        </w:rPr>
        <w:t xml:space="preserve">”), provided, however, that the Director Limit shall be doubled in the case of (i) the Chairman of the Board or (ii) in any Non-Employee Director’s first year of service as a Non-Employee Director. For the purpose of this limitation, the value of any Award shall be its grant date fair value, as determined in accordance with ASC 718 or successor provision but excluding the impact of estimated forfeitures related to service-based vesting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ELIGIBILITY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Grantees under the Plan will be such full- or part-time Employees, Non-Employee Directors or Consultants of the Company and its Affiliates as are selected from time to time by the Administrator in its sole discretion; </w:t>
      </w:r>
      <w:r>
        <w:rPr>
          <w:rFonts w:ascii="Times New Roman" w:hAnsi="Times New Roman"/>
          <w:i/>
          <w:sz w:val="20"/>
        </w:rPr>
        <w:t>provided</w:t>
      </w:r>
      <w:r>
        <w:rPr>
          <w:rFonts w:ascii="Times New Roman" w:hAnsi="Times New Roman"/>
          <w:sz w:val="20"/>
        </w:rPr>
        <w:t xml:space="preserve"> that Awards may not be granted to Employees, Directors or Consultants who are providing services only to any “parent” of the Company, as such term is defined in Rule 405 of the Act, unless (i) the shares underlying the Awards is treated as “service recipient stock” under Section 409A or (ii) the Company has determined that such Awards are exempt from or otherwise comply with Section 409A.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STOCK OPTIONS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Award of Stock Options</w:t>
      </w:r>
      <w:r>
        <w:rPr>
          <w:rFonts w:ascii="Times New Roman" w:hAnsi="Times New Roman"/>
          <w:sz w:val="20"/>
        </w:rPr>
        <w:t xml:space="preserve">. The Administrator may grant Stock Options under the Plan. Any Stock Option granted under the Plan shall be in such form as the Administrator may from time to time approve.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 </w:t>
      </w:r>
    </w:p>
    <w:p>
      <w:pPr>
        <w:pStyle w:val="TextBody"/>
        <w:bidi w:val="0"/>
        <w:spacing w:before="240" w:after="0"/>
        <w:jc w:val="left"/>
        <w:rPr>
          <w:rFonts w:ascii="Times New Roman" w:hAnsi="Times New Roman"/>
          <w:sz w:val="20"/>
        </w:rPr>
      </w:pPr>
      <w:r>
        <w:rPr>
          <w:rFonts w:ascii="Times New Roman" w:hAnsi="Times New Roman"/>
          <w:sz w:val="20"/>
        </w:rPr>
        <w:t xml:space="preserve">Stock Options granted pursuant to this Section 5 shall be subject to the following terms and conditions and shall contain such additional terms and conditions, not inconsistent with the terms of the Plan, as the Administrator shall deem desirable.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Exercise Price</w:t>
      </w:r>
      <w:r>
        <w:rPr>
          <w:rFonts w:ascii="Times New Roman" w:hAnsi="Times New Roman"/>
          <w:sz w:val="20"/>
        </w:rPr>
        <w:t xml:space="preserve">. The exercise price per share for the Shares covered by a Stock Option granted pursuant to this Section 5 shall be determined by the Administrator at the time of grant but shall not be less than 100 percent of the Fair Market Value on the date of grant. In the case of an Incentive Stock Option that is granted to a Ten Percent Owner, the exercise price of such Incentive Stock Option shall be not less than 110 percent of the Fair Market Value on the grant date. To the extent any Stock Options are issued with respect to, in exchange for, or as a substitute for previously held awards or rights (hereinafter, the “Replaced Awards”), such Stock Options shall comply with applicable law relating to such issuance, exchange, or substitution, and such Stock Options shall otherwise be generally subject to the terms of the Plan; provided, however, that the Administrator shall have discretion to modify the terms of such Stock Options to comply with applicable law relating to such issuance, exchange, or substitution, including (without limitation) that the terms of any such Stock Options may vary from the provisions of the Plan to the extent such variances comply with Treasury Regulation 1.424-1, and, in addition, to the extent any such Stock Options (including the applicable Award Agreement and/or the Plan) provide for additional benefits that were not provided under the Replaced Awards, such additional benefits shall be rendered null and void ab initio with respect to such Stock Options.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Option Term</w:t>
      </w:r>
      <w:r>
        <w:rPr>
          <w:rFonts w:ascii="Times New Roman" w:hAnsi="Times New Roman"/>
          <w:sz w:val="20"/>
        </w:rPr>
        <w:t xml:space="preserve">.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Exercisability; Rights of a Shareholder</w:t>
      </w:r>
      <w:r>
        <w:rPr>
          <w:rFonts w:ascii="Times New Roman" w:hAnsi="Times New Roman"/>
          <w:sz w:val="20"/>
        </w:rPr>
        <w:t xml:space="preserve">. Stock Options shall become exercisable at such time or times, whether or not in installments, as shall be determined by the Administrator at or after the grant date. The Award Agreement may permit a Grantee to exercise all or a portion of a Stock Option immediately at grant; </w:t>
      </w:r>
      <w:r>
        <w:rPr>
          <w:rFonts w:ascii="Times New Roman" w:hAnsi="Times New Roman"/>
          <w:i/>
          <w:sz w:val="20"/>
        </w:rPr>
        <w:t>provided</w:t>
      </w:r>
      <w:r>
        <w:rPr>
          <w:rFonts w:ascii="Times New Roman" w:hAnsi="Times New Roman"/>
          <w:sz w:val="20"/>
        </w:rPr>
        <w:t xml:space="preserve"> that the Shares issued upon such exercise shall be subject to restrictions and a vesting schedule identical to the vesting schedule of the related Stock Option, such Shares shall be deemed to be Restricted Shares for purposes of the Plan, and the Grantee may be required to enter into an additional or new Award Agreement as a condition to exercise of such grant date. The Administrator may, pursuant to Section 2(b)(v), at any time accelerate the exercisability of all or any portion of any Stock Option. A Grantee shall have the rights of a shareholder only as to shares acquired upon the exercise of a Stock Option and not as to unexercised Stock Options.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Method of Exercise</w:t>
      </w:r>
      <w:r>
        <w:rPr>
          <w:rFonts w:ascii="Times New Roman" w:hAnsi="Times New Roman"/>
          <w:sz w:val="20"/>
        </w:rPr>
        <w:t xml:space="preserve">.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Award Agreement: </w:t>
      </w:r>
    </w:p>
    <w:p>
      <w:pPr>
        <w:pStyle w:val="TextBody"/>
        <w:bidi w:val="0"/>
        <w:spacing w:before="240" w:after="0"/>
        <w:jc w:val="left"/>
        <w:rPr>
          <w:rFonts w:ascii="Times New Roman" w:hAnsi="Times New Roman"/>
          <w:sz w:val="20"/>
        </w:rPr>
      </w:pPr>
      <w:r>
        <w:rPr>
          <w:rFonts w:ascii="Times New Roman" w:hAnsi="Times New Roman"/>
          <w:sz w:val="20"/>
        </w:rPr>
        <w:t xml:space="preserve">(i) In cash, by certified or bank check or other instrument acceptable to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(ii) Through the delivery (or attestation to the ownership following such procedures as the Company may prescribe) of Shares that are not then subject to restrictions under any Company plan. Such surrendered shares shall be valued at Fair Market Value on the exercise date; </w:t>
      </w:r>
    </w:p>
    <w:p>
      <w:pPr>
        <w:pStyle w:val="TextBody"/>
        <w:bidi w:val="0"/>
        <w:spacing w:before="240" w:after="0"/>
        <w:jc w:val="left"/>
        <w:rPr>
          <w:rFonts w:ascii="Times New Roman" w:hAnsi="Times New Roman"/>
          <w:sz w:val="20"/>
        </w:rPr>
      </w:pPr>
      <w:r>
        <w:rPr>
          <w:rFonts w:ascii="Times New Roman" w:hAnsi="Times New Roman"/>
          <w:sz w:val="20"/>
        </w:rPr>
        <w:t xml:space="preserve">(iii) By the Grantee delivering to the Company a properly executed exercise notice together with irrevocable instructions to a broker to promptly deliver to the Company cash or a check payable and acceptable to the Company for the purchase price; </w:t>
      </w:r>
      <w:r>
        <w:rPr>
          <w:rFonts w:ascii="Times New Roman" w:hAnsi="Times New Roman"/>
          <w:i/>
          <w:sz w:val="20"/>
        </w:rPr>
        <w:t>provided</w:t>
      </w:r>
      <w:r>
        <w:rPr>
          <w:rFonts w:ascii="Times New Roman" w:hAnsi="Times New Roman"/>
          <w:sz w:val="20"/>
        </w:rPr>
        <w:t xml:space="preserve"> that in the event the Grantee chooses to pay the purchase price as so provided, the Grantee and the broker shall comply with such procedures and enter into such agreements of indemnity and other agreements as the Company shall prescribe as a condition of such payment procedure; and/or </w:t>
      </w:r>
    </w:p>
    <w:p>
      <w:pPr>
        <w:pStyle w:val="TextBody"/>
        <w:bidi w:val="0"/>
        <w:spacing w:before="240" w:after="0"/>
        <w:jc w:val="left"/>
        <w:rPr>
          <w:rFonts w:ascii="Times New Roman" w:hAnsi="Times New Roman"/>
          <w:sz w:val="20"/>
        </w:rPr>
      </w:pPr>
      <w:r>
        <w:rPr>
          <w:rFonts w:ascii="Times New Roman" w:hAnsi="Times New Roman"/>
          <w:sz w:val="20"/>
        </w:rPr>
        <w:t xml:space="preserve">(iv) With respect to Stock Options that are not Incentive Stock Options, by a “net exercise” arrangement pursuant to which the Company will reduce the number of Shares issuable upon exercise by the largest whole number of shares with a Fair Market Value that does not exceed the aggregate exercise price.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Payment instruments will be received subject to collection. The transfer to the Grantee on the records of the Company or of the transfer agent of the Shares to be purchased pursuant to the exercise of a Stock Option will be contingent upon receipt from the Grantee (or a purchaser acting in his stead in accordance with the provisions of the Stock Option) by the Company of the full purchase price for such shares and the fulfillment of any other requirements contained in the Award Agreement or applicable provisions of laws (including the satisfaction of any withholding taxes that the Company is obligated to withhold with respect to the Grantee). In the event a Grantee chooses to pay the purchase price by previously-owned Shares through the attestation method, the number of Shares transferred to the Grantee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Annual Limit on Incentive Stock Options</w:t>
      </w:r>
      <w:r>
        <w:rPr>
          <w:rFonts w:ascii="Times New Roman" w:hAnsi="Times New Roman"/>
          <w:sz w:val="20"/>
        </w:rPr>
        <w:t xml:space="preserve">. To the extent required for “incentive stock option” treatment under Section 422 of the Code, the aggregate Fair Market Value (determined as of the time of grant) of the Shares with respect to which Incentive Stock Options granted under this Plan and any other plan of the Company or its parent and subsidiary corporations become exercisable for the first time by a Grantee during any calendar year shall not exceed $100,000. To the extent that any Stock Option exceeds this limit, it shall constitute a Non-Qualified Stock Option.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STOCK APPRECIATION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Award of Stock Appreciation Rights</w:t>
      </w:r>
      <w:r>
        <w:rPr>
          <w:rFonts w:ascii="Times New Roman" w:hAnsi="Times New Roman"/>
          <w:sz w:val="20"/>
        </w:rPr>
        <w:t xml:space="preserve">. The Administrator may grant Stock Appreciation Rights under the Plan. A Stock Appreciation Right is an Award entitling the recipient to receive Shares (or cash, to the extent explicitly provided for in the applicable Award Agreement) having a value equal to the excess of the Fair Market Value of a Share on the date of exercise over the exercise price of the Stock Appreciation Right multiplied by the number of Shares with respect to which the Stock Appreciation Right shall have been exercised.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Exercise Price of Stock Appreciation Rights</w:t>
      </w:r>
      <w:r>
        <w:rPr>
          <w:rFonts w:ascii="Times New Roman" w:hAnsi="Times New Roman"/>
          <w:sz w:val="20"/>
        </w:rPr>
        <w:t xml:space="preserve">. The exercise price of a Stock Appreciation Right shall not be less than 100 percent of the Fair Market Value of the Shares on the date of grant.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Grant and Exercise of Stock Appreciation Rights</w:t>
      </w:r>
      <w:r>
        <w:rPr>
          <w:rFonts w:ascii="Times New Roman" w:hAnsi="Times New Roman"/>
          <w:sz w:val="20"/>
        </w:rPr>
        <w:t xml:space="preserve">. Stock Appreciation Rights may be granted by the Administrator independently of any Stock Option granted pursuant to Section 5 of the Plan.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Terms and Conditions of Stock Appreciation Rights</w:t>
      </w:r>
      <w:r>
        <w:rPr>
          <w:rFonts w:ascii="Times New Roman" w:hAnsi="Times New Roman"/>
          <w:sz w:val="20"/>
        </w:rPr>
        <w:t xml:space="preserve">. Stock Appreciation Rights shall be subject to such terms and conditions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RESTRICTED STOCK AWARDS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Nature of Restricted Stock Awards</w:t>
      </w:r>
      <w:r>
        <w:rPr>
          <w:rFonts w:ascii="Times New Roman" w:hAnsi="Times New Roman"/>
          <w:sz w:val="20"/>
        </w:rPr>
        <w:t xml:space="preserve">. 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 including, without limitation, the following: cash flow (including, but not limited to, operating cash flow and free cash flow); research and development, publication, clinical and/or regulatory milestones; earnings before interest, taxes, depreciation and amortization; net income (loss) (either before or after interest, taxes, depreciation and/or amortization); changes in the market price of Shares; economic value-added; acquisitions or strategic transactions, including licenses, collaborations, joint ventures or promotion arrangements; operating income (loss); return on capital, assets, equity, or investment; total shareholder returns; coverage decisions; productivity; expense efficiency; margins; operating efficiency; working capital; earnings (loss) per Share; sales or market shares; number of prescriptions or prescribing physicians; revenue; corporate revenue; operating income and/or net annual recurring revenue; or any other performance goal selection by the Administrator, any of which may be (A) measured in absolute terms or compared to any incremental increase, (B) measured in terms of growth, (C) compared to another company or companies or to results of a peer group, (D) measured against the market as a whole and/or as compared to applicable market indices and/or (E) measured on a pre-tax or post-tax basis (if applicable). Further, any such goals may be used to measure the performance of the Company as a whole or a business unit or other segment of the Company, or one or more product lines or specific markets.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Rights as a Shareholder</w:t>
      </w:r>
      <w:r>
        <w:rPr>
          <w:rFonts w:ascii="Times New Roman" w:hAnsi="Times New Roman"/>
          <w:sz w:val="20"/>
        </w:rPr>
        <w:t xml:space="preserve">. Upon the grant of the Restricted Stock Award and payment of any applicable purchase price, a Grantee shall have the rights of a shareholder with respect to the voting of the Restricted Shares and receipt of dividends; </w:t>
      </w:r>
      <w:r>
        <w:rPr>
          <w:rFonts w:ascii="Times New Roman" w:hAnsi="Times New Roman"/>
          <w:i/>
          <w:sz w:val="20"/>
        </w:rPr>
        <w:t>provided</w:t>
      </w:r>
      <w:r>
        <w:rPr>
          <w:rFonts w:ascii="Times New Roman" w:hAnsi="Times New Roman"/>
          <w:sz w:val="20"/>
        </w:rPr>
        <w:t xml:space="preserve"> that any dividends paid by the Company during the period upon which applicable restriction lapse shall accrue and shall not be paid to the Grantee until and to the extent the restrictions lapse with respect to the Restricted Stock Award. Unless the Administrator shall otherwise determine, (i) 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Restrictions</w:t>
      </w:r>
      <w:r>
        <w:rPr>
          <w:rFonts w:ascii="Times New Roman" w:hAnsi="Times New Roman"/>
          <w:sz w:val="20"/>
        </w:rPr>
        <w:t xml:space="preserve">. Restricted Shares may not be sold, assigned, transferred, pledged or otherwise encumbered or disposed of except as specifically provided herein or in the applicable Award Agreement. Except as may otherwise be provided by the Administrator either in the Award Agreement or, subject to Section 16 below, in writing after the Award is issued, if a Grantee’s employment (or other Service Relationship) with the Company and its Affiliates terminates for any reason, any Restricted Shares that have not vested at the time of termination shall automatically and without any requirement of notice to such Grantee from or other action by or on behalf of, the Company be deemed to have been reacquired by the Company at its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shareholder. Following such deemed reacquisition of Restricted Shares that are represented by physical certificates, a Grantee shall surrender such certificates to the Company upon request without consideration.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Vesting of Restricted Shares</w:t>
      </w:r>
      <w:r>
        <w:rPr>
          <w:rFonts w:ascii="Times New Roman" w:hAnsi="Times New Roman"/>
          <w:sz w:val="20"/>
        </w:rPr>
        <w:t xml:space="preserve">.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RESTRICTED STOCK UNITS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Nature of Restricted Stock Units</w:t>
      </w:r>
      <w:r>
        <w:rPr>
          <w:rFonts w:ascii="Times New Roman" w:hAnsi="Times New Roman"/>
          <w:sz w:val="20"/>
        </w:rPr>
        <w:t xml:space="preserve">. The Administrator may grant Restricted Stock Units under the Plan. A Restricted Stock Unit is an Award of stock units that may be settled in Shares (or cash, to the extent explicitly provided for in the Award Agreement) upon the satisfaction of such restrictions and conditions at the time of grant. Conditions may be based on continuing employment (or other Service Relationship) and/or achievement of pre-established performance goals and objectives. The terms and conditions of each such Award shall be determined by the Administrator, and such terms and conditions may differ among individual Awards and Grantees. Except in the case of Restricted Stock Units with a deferred settlement date that complies with Section 409A, at the end of the vesting period, the Restricted Stock Units, to the extent vested, shall be settled in the form of Shares (or, if determined by Administrator, in cash in lieu of Shares,). Restricted Stock Units with deferred settlement dates are subject to Section 409A and shall contain such additional terms and conditions as the Administrator shall determine in its sole discretion in order to comply with the requirements of Section 409A.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Election to Receive Restricted Stock Units in Lieu of Compensation</w:t>
      </w:r>
      <w:r>
        <w:rPr>
          <w:rFonts w:ascii="Times New Roman" w:hAnsi="Times New Roman"/>
          <w:sz w:val="20"/>
        </w:rPr>
        <w:t xml:space="preserve">.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Shares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Rights as a Shareholder</w:t>
      </w:r>
      <w:r>
        <w:rPr>
          <w:rFonts w:ascii="Times New Roman" w:hAnsi="Times New Roman"/>
          <w:sz w:val="20"/>
        </w:rPr>
        <w:t xml:space="preserve">. A Grantee shall have the rights as a shareholder only as to Shares acquired by the Grantee upon settlement of Restricted Stock Units;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Grantee may be credited with Dividend Equivalent Rights with respect to the stock units underlying his Restricted Stock Units, subject to the provisions of Section 11 and such terms and conditions as the Administrator may determine.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Termination</w:t>
      </w:r>
      <w:r>
        <w:rPr>
          <w:rFonts w:ascii="Times New Roman" w:hAnsi="Times New Roman"/>
          <w:sz w:val="20"/>
        </w:rPr>
        <w:t xml:space="preserve">. Except as may otherwise be provided by the Administrator either in the Award Agreement or, subject to Section 16 below, in writing after the Award is issued, a Grantee’s right in all Restricted Stock Units that have not vested shall automatically terminate upon the Grantee’s termination of employment (or cessation of Service Relationship) with the Company and its Affiliates for any reason. </w:t>
      </w:r>
    </w:p>
    <w:p>
      <w:pPr>
        <w:pStyle w:val="TextBody"/>
        <w:bidi w:val="0"/>
        <w:spacing w:before="24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UNRESTRICTED STOCK AWARDS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u w:val="single"/>
        </w:rPr>
        <w:t>Grant or Sale of Unrestricted Stock</w:t>
      </w:r>
      <w:r>
        <w:rPr>
          <w:rFonts w:ascii="Times New Roman" w:hAnsi="Times New Roman"/>
          <w:sz w:val="20"/>
        </w:rPr>
        <w:t xml:space="preserve">. The Administrator may grant (or sell at par value or such higher purchase price determined by the Administrator) an Unrestricted Stock Award under the Plan. An Unrestricted Stock Award is an Award pursuant to which the Grantee may receive Shares free of any restrictions under the Plan. Unrestricted Stock Awards may be granted in respect of past services or other valid consideration, or in lieu of cash compensation due to such Grantee. </w:t>
      </w:r>
    </w:p>
    <w:p>
      <w:pPr>
        <w:pStyle w:val="TextBody"/>
        <w:bidi w:val="0"/>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CASH-BASED AWARDS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u w:val="single"/>
        </w:rPr>
        <w:t>Grant of Cash-Based Awards</w:t>
      </w:r>
      <w:r>
        <w:rPr>
          <w:rFonts w:ascii="Times New Roman" w:hAnsi="Times New Roman"/>
          <w:sz w:val="20"/>
        </w:rPr>
        <w:t xml:space="preserve">. The Administrator may grant Cash-Based Awards under the Plan. A Cash-Based Award is an Award that entitles the Grantee to a payment in cash upon the attainment of specified performance goals. The Administrator shall determine the duration of the Cash-Based Award (which may be quarterly, annual, or any other short- or long-term period),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 Notwithstanding anything to the contrary in the Plan, Cash-Based Awards may be paid pursuant to a subplan or policy, and may be granted from time to time with or with an Award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DIVIDEND EQUIVALENT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Dividend Equivalent Rights</w:t>
      </w:r>
      <w:r>
        <w:rPr>
          <w:rFonts w:ascii="Times New Roman" w:hAnsi="Times New Roman"/>
          <w:sz w:val="20"/>
        </w:rPr>
        <w:t xml:space="preserve">. The Administrator may grant Dividend Equivalent Rights under the Plan. A Dividend Equivalent Right is an Award entitling the Grantee to receive credits based on ordinary cash dividends that would have been paid on the Shares specified in the Dividend Equivalent Right (or other Award to which it relates) if such shares had been issued to the Grantee. A Dividend Equivalent Right may be granted hereunder to any Grantee as a component of an award of Restricted Stock Units or as a freestanding award. The terms and conditions of Dividend Equivalent Rights shall be specified in the Award Agreement. Dividend equivalents credited to the holder of a Dividend Equivalent Right may be accrued or may be deemed to be reinvested in additional Shares,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or a combination thereof, in a single installment or installments. A Dividend Equivalent Right granted as a component of an Award of Restricted Stock Units shall provide that such Dividend Equivalent Right shall be settled only upon settlement or payment of, or lapse of restrictions on, such other Award, and that such Dividend Equivalent Right shall expire or be forfeited or annulled under the same conditions as such other Award.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Termination</w:t>
      </w:r>
      <w:r>
        <w:rPr>
          <w:rFonts w:ascii="Times New Roman" w:hAnsi="Times New Roman"/>
          <w:sz w:val="20"/>
        </w:rPr>
        <w:t xml:space="preserve">. Except as may otherwise be provided by the Administrator either in the Award Agreement or, subject to Section 16 below, in writing after the Award is issued, a Grantee’s rights in all Dividend Equivalent Rights shall automatically terminate upon the Grantee’s termination of employment (or cessation of Service Relationship) with the Company and its Affiliates for any reason.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TRANSFERABILITY OF AWARDS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Transferability</w:t>
      </w:r>
      <w:r>
        <w:rPr>
          <w:rFonts w:ascii="Times New Roman" w:hAnsi="Times New Roman"/>
          <w:sz w:val="20"/>
        </w:rPr>
        <w:t xml:space="preserve">. Except as provided in Section 12(b)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Administrator Action</w:t>
      </w:r>
      <w:r>
        <w:rPr>
          <w:rFonts w:ascii="Times New Roman" w:hAnsi="Times New Roman"/>
          <w:sz w:val="20"/>
        </w:rPr>
        <w:t xml:space="preserve">. Notwithstanding Section 12(a), the Administrator, in its discretion, may provide either in the Award Agreement regarding a given Award or by subsequent written approval that the Grantee (who is an Employee or Non-Employee Director) may transfer his or her Non-Qualified Stock Options to his or her immediate family members, to trusts for the benefit of such family members, or to partnerships in which such family members are the only partners, </w:t>
      </w:r>
      <w:r>
        <w:rPr>
          <w:rFonts w:ascii="Times New Roman" w:hAnsi="Times New Roman"/>
          <w:i/>
          <w:sz w:val="20"/>
        </w:rPr>
        <w:t>provided</w:t>
      </w:r>
      <w:r>
        <w:rPr>
          <w:rFonts w:ascii="Times New Roman" w:hAnsi="Times New Roman"/>
          <w:sz w:val="20"/>
        </w:rPr>
        <w:t xml:space="preserve"> that the transferee agrees in writing with the Company to be bound by all of the terms and conditions of this Plan and the applicable Award. In no event may an Award be transferred by a Grantee for value.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Family Member</w:t>
      </w:r>
      <w:r>
        <w:rPr>
          <w:rFonts w:ascii="Times New Roman" w:hAnsi="Times New Roman"/>
          <w:sz w:val="20"/>
        </w:rPr>
        <w:t xml:space="preserve">. For purposes of Section 12(b),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Designation of Beneficiary</w:t>
      </w:r>
      <w:r>
        <w:rPr>
          <w:rFonts w:ascii="Times New Roman" w:hAnsi="Times New Roman"/>
          <w:sz w:val="20"/>
        </w:rPr>
        <w:t xml:space="preserve">. To the extent permitted by the Company,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 </w:t>
      </w:r>
    </w:p>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TAX WITHHOLDING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Payment by Grantee</w:t>
      </w:r>
      <w:r>
        <w:rPr>
          <w:rFonts w:ascii="Times New Roman" w:hAnsi="Times New Roman"/>
          <w:sz w:val="20"/>
        </w:rPr>
        <w:t xml:space="preserve">. Each Grantee shall, no later than the date as of which the value of an Award or of any Shares or other amounts received thereunder first becomes includable in the gross income of the Grantee for Federal income tax purposes, pay to the Company, or make arrangements satisfactory to the Administrator regarding payment of, any Federal, state, or local taxes of any kind required by law to be withheld by the Company with respect to such income. The Company and its Affiliates shall, to the extent permitted by law, have the right to deduct any such taxes from any payment of any kind otherwise due to the Grantee. The Company’s obligation to deliver evidence of book entry (or share certificates) to any Grantee is subject to and conditioned on tax withholding obligations being satisfied by the Grantee.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Payment in Shares</w:t>
      </w:r>
      <w:r>
        <w:rPr>
          <w:rFonts w:ascii="Times New Roman" w:hAnsi="Times New Roman"/>
          <w:sz w:val="20"/>
        </w:rPr>
        <w:t xml:space="preserve">. The Administrator may require the Company’s tax withholding obligation to be satisfied, in whole or in part, by the Company withholding from Shares to be issued pursuant to any Award a number of shares with an aggregate Fair Market Value (as of the date the withholding is effected) that would satisfy the withholding amount due;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amount withheld does not exceed the maximum statutory tax rate or such lesser amount as is necessary to avoid liability accounting treatment. For purposes of share withholding, the Fair Market Value of withheld shares shall be determined in the same manner as the value of Shares includible in income of the Grantees. The Administrator may also require the Company’s tax withholding obligation to be satisfied, in whole or in part, by an arrangement whereby a certain number of Shares issued pursuant to any Award are immediately sold and proceeds from such sale are remitted to the Company in an amount that would satisfy the withholding amount due.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SECTION 409A AWARDS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 </w:t>
      </w:r>
    </w:p>
    <w:p>
      <w:pPr>
        <w:pStyle w:val="TextBody"/>
        <w:bidi w:val="0"/>
        <w:spacing w:before="24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TERMINATION OF SERVICE RELATIONSHIP, TRANSFER, LEAVE OF ABSENCE,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Termination of Service Relationship</w:t>
      </w:r>
      <w:r>
        <w:rPr>
          <w:rFonts w:ascii="Times New Roman" w:hAnsi="Times New Roman"/>
          <w:sz w:val="20"/>
        </w:rPr>
        <w:t xml:space="preserve">. If the Grantee’s Service Relationship is with an Affiliate and such Affiliate ceases to be an Affiliate, the Grantee shall be deemed to have terminated his or her Service Relationship for purposes of the Plan. </w:t>
      </w:r>
    </w:p>
    <w:p>
      <w:pPr>
        <w:pStyle w:val="TextBody"/>
        <w:bidi w:val="0"/>
        <w:spacing w:before="240" w:after="0"/>
        <w:jc w:val="left"/>
        <w:rPr>
          <w:rFonts w:ascii="Times New Roman" w:hAnsi="Times New Roman"/>
          <w:sz w:val="20"/>
        </w:rPr>
      </w:pPr>
      <w:r>
        <w:rPr>
          <w:rFonts w:ascii="Times New Roman" w:hAnsi="Times New Roman"/>
          <w:sz w:val="20"/>
        </w:rPr>
        <w:t xml:space="preserve">(b) For purposes of the Plan, the following events shall not be deemed a termination of a Service Relationship: </w:t>
      </w:r>
    </w:p>
    <w:p>
      <w:pPr>
        <w:pStyle w:val="TextBody"/>
        <w:bidi w:val="0"/>
        <w:spacing w:before="240" w:after="0"/>
        <w:jc w:val="left"/>
        <w:rPr>
          <w:rFonts w:ascii="Times New Roman" w:hAnsi="Times New Roman"/>
          <w:sz w:val="20"/>
        </w:rPr>
      </w:pPr>
      <w:r>
        <w:rPr>
          <w:rFonts w:ascii="Times New Roman" w:hAnsi="Times New Roman"/>
          <w:sz w:val="20"/>
        </w:rPr>
        <w:t xml:space="preserve">(i) a transfer to the employment of the Company from an Affiliate or from the Company to an Affiliate, or from one Affiliate to another; or </w:t>
      </w:r>
    </w:p>
    <w:p>
      <w:pPr>
        <w:pStyle w:val="TextBody"/>
        <w:bidi w:val="0"/>
        <w:spacing w:before="240" w:after="0"/>
        <w:jc w:val="left"/>
        <w:rPr>
          <w:rFonts w:ascii="Times New Roman" w:hAnsi="Times New Roman"/>
          <w:sz w:val="20"/>
        </w:rPr>
      </w:pPr>
      <w:r>
        <w:rPr>
          <w:rFonts w:ascii="Times New Roman" w:hAnsi="Times New Roman"/>
          <w:sz w:val="20"/>
        </w:rPr>
        <w:t xml:space="preserve">(ii) 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 </w:t>
      </w:r>
    </w:p>
    <w:p>
      <w:pPr>
        <w:pStyle w:val="TextBody"/>
        <w:bidi w:val="0"/>
        <w:spacing w:before="240" w:after="0"/>
        <w:jc w:val="left"/>
        <w:rPr>
          <w:rFonts w:ascii="Times New Roman" w:hAnsi="Times New Roman"/>
          <w:sz w:val="20"/>
        </w:rPr>
      </w:pPr>
      <w:r>
        <w:rPr>
          <w:rFonts w:ascii="Times New Roman" w:hAnsi="Times New Roman"/>
          <w:sz w:val="20"/>
        </w:rPr>
        <w:t xml:space="preserve">SECTION 16. </w:t>
      </w:r>
      <w:r>
        <w:rPr>
          <w:rFonts w:ascii="Times New Roman" w:hAnsi="Times New Roman"/>
          <w:sz w:val="20"/>
          <w:u w:val="single"/>
        </w:rPr>
        <w:t>AMENDMENTS AND 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For the avoidance of doubt, the Administrator may, without shareholder approval, exercise its discretion to reduce the exercise price of outstanding Stock Options or Stock Appreciation Rights or effect repricing through cancellation and re-grants or cancellation of Stock Options or Stock Appreciation Rights in exchange for cash or other Awards. To the extent required under the rules of any securities exchange or market system on which the Shares are listed, to the extent determined by the Administrator to be required by the Code to ensure that Incentive Stock Options granted under the Plan are qualified under Section 422 of the Code, Plan amendments shall be subject to approval by Company shareholders. Nothing in this Section 16 shall limit the Administrator’s authority to take any action permitted pursuant to Section 3(b) or 3(c). </w:t>
      </w:r>
    </w:p>
    <w:p>
      <w:pPr>
        <w:pStyle w:val="TextBody"/>
        <w:bidi w:val="0"/>
        <w:spacing w:before="240" w:after="0"/>
        <w:jc w:val="left"/>
        <w:rPr>
          <w:rFonts w:ascii="Times New Roman" w:hAnsi="Times New Roman"/>
          <w:sz w:val="20"/>
        </w:rPr>
      </w:pPr>
      <w:r>
        <w:rPr>
          <w:rFonts w:ascii="Times New Roman" w:hAnsi="Times New Roman"/>
          <w:sz w:val="20"/>
        </w:rPr>
        <w:t xml:space="preserve">SECTION 17. </w:t>
      </w:r>
      <w:r>
        <w:rPr>
          <w:rFonts w:ascii="Times New Roman" w:hAnsi="Times New Roman"/>
          <w:sz w:val="20"/>
          <w:u w:val="single"/>
        </w:rPr>
        <w:t>STATUS OF PLAN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portion of any Award that has not been exercised and any payments in cash, Shares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Shares or make payments with respect to Awards hereunder, </w:t>
      </w:r>
      <w:r>
        <w:rPr>
          <w:rFonts w:ascii="Times New Roman" w:hAnsi="Times New Roman"/>
          <w:i/>
          <w:sz w:val="20"/>
        </w:rPr>
        <w:t>provided</w:t>
      </w:r>
      <w:r>
        <w:rPr>
          <w:rFonts w:ascii="Times New Roman" w:hAnsi="Times New Roman"/>
          <w:sz w:val="20"/>
        </w:rPr>
        <w:t xml:space="preserve"> that the existence of such trusts or other arrangements is consistent with the foregoing sentence. </w:t>
      </w:r>
    </w:p>
    <w:p>
      <w:pPr>
        <w:pStyle w:val="TextBody"/>
        <w:bidi w:val="0"/>
        <w:spacing w:before="240" w:after="0"/>
        <w:jc w:val="left"/>
        <w:rPr>
          <w:rFonts w:ascii="Times New Roman" w:hAnsi="Times New Roman"/>
          <w:sz w:val="20"/>
        </w:rPr>
      </w:pPr>
      <w:r>
        <w:rPr>
          <w:rFonts w:ascii="Times New Roman" w:hAnsi="Times New Roman"/>
          <w:sz w:val="20"/>
        </w:rPr>
        <w:t xml:space="preserve">SECTION 18. </w:t>
      </w:r>
      <w:r>
        <w:rPr>
          <w:rFonts w:ascii="Times New Roman" w:hAnsi="Times New Roman"/>
          <w:sz w:val="20"/>
          <w:u w:val="single"/>
        </w:rPr>
        <w:t>GENERAL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Distribution</w:t>
      </w:r>
      <w:r>
        <w:rPr>
          <w:rFonts w:ascii="Times New Roman" w:hAnsi="Times New Roman"/>
          <w:sz w:val="20"/>
        </w:rPr>
        <w:t xml:space="preserve">. The Administrator may require each person acquiring Shares pursuant to an Award to represent to and agree with the Company in writing that such person is acquiring the shares without a view to distribution thereof.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Issuance of Shares</w:t>
      </w:r>
      <w:r>
        <w:rPr>
          <w:rFonts w:ascii="Times New Roman" w:hAnsi="Times New Roman"/>
          <w:sz w:val="20"/>
        </w:rPr>
        <w:t xml:space="preserve">. To the extent certificated, share certificates to Grantees under this Plan shall be deemed delivered for all purposes when the Company or a share transfer agent of the Company shall have mailed such certificates in the United States mail, addressed to the Grantee, at the Grantee’s last known address on file with the Company. Uncertificated Shares shall be deemed delivered for all purposes when the Company or a Shares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are listed, quoted or traded. Any Shares issued pursuant to the Plan shall be subject to any stop-transfer orders and other restrictions as the Administrator deems necessary or advisable to comply with federal, state or foreign jurisdiction, securities or other laws, rules and quotation system on which the Shares are listed, quoted or traded. The Administrator may place legends on any Shares certificate or notations on any book entry to reference restrictions applicable to the Shares.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Shareholder Rights</w:t>
      </w:r>
      <w:r>
        <w:rPr>
          <w:rFonts w:ascii="Times New Roman" w:hAnsi="Times New Roman"/>
          <w:sz w:val="20"/>
        </w:rPr>
        <w:t xml:space="preserve">. Until Shares are deemed delivered in accordance with Section 18(b), no right to vote or receive dividends or any other rights of a shareholder will exist with respect to Shares to be issued in connection with an Award, notwithstanding the exercise of a Stock Option or any other action by the Grantee with respect to an Award.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Other Compensation Arrangements; No Employment Rights</w:t>
      </w:r>
      <w:r>
        <w:rPr>
          <w:rFonts w:ascii="Times New Roman" w:hAnsi="Times New Roman"/>
          <w:sz w:val="20"/>
        </w:rPr>
        <w:t xml:space="preserve">.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Trading Policy Restrictions</w:t>
      </w:r>
      <w:r>
        <w:rPr>
          <w:rFonts w:ascii="Times New Roman" w:hAnsi="Times New Roman"/>
          <w:sz w:val="20"/>
        </w:rPr>
        <w:t xml:space="preserve">. Option exercises and other Awards under the Plan shall be subject to the Company’s insider trading policies and procedures, as in effect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Clawback Policy</w:t>
      </w:r>
      <w:r>
        <w:rPr>
          <w:rFonts w:ascii="Times New Roman" w:hAnsi="Times New Roman"/>
          <w:sz w:val="20"/>
        </w:rPr>
        <w:t xml:space="preserve">. A participant’s rights with respect to any Award hereunder shall in all events be subject to (i) any right that the Company may have under any Company recoupment policy or other agreement or arrangement with a participant, or (ii) any right or obligation that the Company may have regarding the clawback of “incentive-based compensation” under Section 10D of the Exchange Act and any applicable rules and regulations promulgated thereunder from time to time by the U.S.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SECTION 19. </w:t>
      </w:r>
      <w:r>
        <w:rPr>
          <w:rFonts w:ascii="Times New Roman" w:hAnsi="Times New Roman"/>
          <w:sz w:val="20"/>
          <w:u w:val="single"/>
        </w:rPr>
        <w:t>EFFECTIVE DATE OF PLAN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Plan shall become effective upon adoption by the Board and shall be approved by stockholders in accordance with applicable state law, the Company’s memorandum and articles of association, and applicable stock exchange rules. No grants of Stock Options and other Awards may be made hereunder after the tenth anniversary of the Effective Date and no grants of Incentive Stock Options may be made hereunder after the tenth anniversary of the date the Plan is approved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20. </w:t>
      </w:r>
      <w:r>
        <w:rPr>
          <w:rFonts w:ascii="Times New Roman" w:hAnsi="Times New Roman"/>
          <w:sz w:val="20"/>
          <w:u w:val="single"/>
        </w:rPr>
        <w:t>GOVERNING LAW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Plan and all Awards and actions taken thereunder shall be governed by, and construed in accordance with, the laws of the Cayman Islands without regard to conflict of law principles.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DATE APPROVED BY BOARD OF DIRECTORS: October 20, 2020 </w:t>
      </w:r>
    </w:p>
    <w:p>
      <w:pPr>
        <w:pStyle w:val="TextBody"/>
        <w:bidi w:val="0"/>
        <w:spacing w:before="240" w:after="0"/>
        <w:jc w:val="left"/>
        <w:rPr>
          <w:rFonts w:ascii="Times New Roman" w:hAnsi="Times New Roman"/>
          <w:sz w:val="20"/>
        </w:rPr>
      </w:pPr>
      <w:r>
        <w:rPr>
          <w:rFonts w:ascii="Times New Roman" w:hAnsi="Times New Roman"/>
          <w:sz w:val="20"/>
        </w:rPr>
        <w:t xml:space="preserve">DATE APPROVED BY STOCKHOLDERS: October 20, 2020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RESTRICTED STOCK UNIT AWARD AGREEMENT </w:t>
      </w:r>
    </w:p>
    <w:p>
      <w:pPr>
        <w:pStyle w:val="TextBody"/>
        <w:bidi w:val="0"/>
        <w:spacing w:before="0" w:after="0"/>
        <w:jc w:val="center"/>
        <w:rPr>
          <w:rFonts w:ascii="Times New Roman" w:hAnsi="Times New Roman"/>
          <w:b/>
          <w:sz w:val="20"/>
        </w:rPr>
      </w:pPr>
      <w:r>
        <w:rPr>
          <w:rFonts w:ascii="Times New Roman" w:hAnsi="Times New Roman"/>
          <w:b/>
          <w:sz w:val="20"/>
        </w:rPr>
        <w:t xml:space="preserve">FOR NON-EMPLOYEE DIRECTORS </w:t>
      </w:r>
    </w:p>
    <w:p>
      <w:pPr>
        <w:pStyle w:val="TextBody"/>
        <w:bidi w:val="0"/>
        <w:spacing w:before="0" w:after="0"/>
        <w:jc w:val="center"/>
        <w:rPr>
          <w:rFonts w:ascii="Times New Roman" w:hAnsi="Times New Roman"/>
          <w:b/>
          <w:sz w:val="20"/>
        </w:rPr>
      </w:pPr>
      <w:r>
        <w:rPr>
          <w:rFonts w:ascii="Times New Roman" w:hAnsi="Times New Roman"/>
          <w:b/>
          <w:sz w:val="20"/>
        </w:rPr>
        <w:t xml:space="preserve">UNDER DAMORA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2020 EQUITY INCENTIVE PLAN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64"/>
        <w:gridCol w:w="123"/>
        <w:gridCol w:w="7518"/>
      </w:tblGrid>
      <w:tr>
        <w:trPr/>
        <w:tc>
          <w:tcPr>
            <w:tcW w:w="2564"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518" w:type="dxa"/>
            <w:tcBorders/>
            <w:vAlign w:val="center"/>
          </w:tcPr>
          <w:p>
            <w:pPr>
              <w:pStyle w:val="TableContents"/>
              <w:bidi w:val="0"/>
              <w:spacing w:before="0" w:after="283"/>
              <w:jc w:val="left"/>
              <w:rPr>
                <w:sz w:val="4"/>
                <w:szCs w:val="4"/>
              </w:rPr>
            </w:pPr>
            <w:r>
              <w:rPr>
                <w:sz w:val="4"/>
                <w:szCs w:val="4"/>
              </w:rPr>
            </w:r>
          </w:p>
        </w:tc>
      </w:tr>
      <w:tr>
        <w:trPr/>
        <w:tc>
          <w:tcPr>
            <w:tcW w:w="2564" w:type="dxa"/>
            <w:tcBorders/>
          </w:tcPr>
          <w:p>
            <w:pPr>
              <w:pStyle w:val="TableContents"/>
              <w:bidi w:val="0"/>
              <w:spacing w:before="0" w:after="283"/>
              <w:jc w:val="left"/>
              <w:rPr/>
            </w:pPr>
            <w:r>
              <w:rPr/>
              <w:t>Name of Grantee:</w:t>
            </w:r>
          </w:p>
        </w:tc>
        <w:tc>
          <w:tcPr>
            <w:tcW w:w="123" w:type="dxa"/>
            <w:tcBorders/>
            <w:vAlign w:val="bottom"/>
          </w:tcPr>
          <w:p>
            <w:pPr>
              <w:pStyle w:val="TableContents"/>
              <w:bidi w:val="0"/>
              <w:spacing w:before="0" w:after="283"/>
              <w:jc w:val="left"/>
              <w:rPr/>
            </w:pPr>
            <w:r>
              <w:rPr/>
              <w:t>  </w:t>
            </w:r>
          </w:p>
        </w:tc>
        <w:tc>
          <w:tcPr>
            <w:tcW w:w="7518" w:type="dxa"/>
            <w:tcBorders/>
          </w:tcPr>
          <w:p>
            <w:pPr>
              <w:pStyle w:val="TableContents"/>
              <w:bidi w:val="0"/>
              <w:spacing w:before="0" w:after="283"/>
              <w:jc w:val="left"/>
              <w:rPr>
                <w:sz w:val="4"/>
                <w:szCs w:val="4"/>
              </w:rPr>
            </w:pPr>
            <w:r>
              <w:rPr>
                <w:sz w:val="4"/>
                <w:szCs w:val="4"/>
              </w:rPr>
            </w:r>
          </w:p>
        </w:tc>
      </w:tr>
      <w:tr>
        <w:trPr>
          <w:trHeight w:val="120" w:hRule="atLeast"/>
        </w:trPr>
        <w:tc>
          <w:tcPr>
            <w:tcW w:w="2564" w:type="dxa"/>
            <w:tcBorders/>
            <w:vAlign w:val="center"/>
          </w:tcPr>
          <w:p>
            <w:pPr>
              <w:pStyle w:val="TableContents"/>
              <w:bidi w:val="0"/>
              <w:spacing w:before="0" w:after="283"/>
              <w:jc w:val="left"/>
              <w:rPr>
                <w:sz w:val="4"/>
                <w:szCs w:val="4"/>
              </w:rPr>
            </w:pPr>
            <w:r>
              <w:rPr>
                <w:sz w:val="4"/>
                <w:szCs w:val="4"/>
              </w:rPr>
            </w:r>
          </w:p>
        </w:tc>
        <w:tc>
          <w:tcPr>
            <w:tcW w:w="7641" w:type="dxa"/>
            <w:gridSpan w:val="2"/>
            <w:tcBorders/>
            <w:vAlign w:val="center"/>
          </w:tcPr>
          <w:p>
            <w:pPr>
              <w:pStyle w:val="TableContents"/>
              <w:bidi w:val="0"/>
              <w:spacing w:before="0" w:after="283"/>
              <w:jc w:val="left"/>
              <w:rPr>
                <w:sz w:val="4"/>
                <w:szCs w:val="4"/>
              </w:rPr>
            </w:pPr>
            <w:r>
              <w:rPr>
                <w:sz w:val="4"/>
                <w:szCs w:val="4"/>
              </w:rPr>
            </w:r>
          </w:p>
        </w:tc>
      </w:tr>
      <w:tr>
        <w:trPr/>
        <w:tc>
          <w:tcPr>
            <w:tcW w:w="2564" w:type="dxa"/>
            <w:tcBorders/>
          </w:tcPr>
          <w:p>
            <w:pPr>
              <w:pStyle w:val="TableContents"/>
              <w:bidi w:val="0"/>
              <w:spacing w:before="0" w:after="283"/>
              <w:jc w:val="left"/>
              <w:rPr/>
            </w:pPr>
            <w:r>
              <w:rPr/>
              <w:t>No. of Restricted Stock Units:</w:t>
            </w:r>
          </w:p>
        </w:tc>
        <w:tc>
          <w:tcPr>
            <w:tcW w:w="123" w:type="dxa"/>
            <w:tcBorders/>
            <w:vAlign w:val="bottom"/>
          </w:tcPr>
          <w:p>
            <w:pPr>
              <w:pStyle w:val="TableContents"/>
              <w:bidi w:val="0"/>
              <w:spacing w:before="0" w:after="283"/>
              <w:jc w:val="left"/>
              <w:rPr/>
            </w:pPr>
            <w:r>
              <w:rPr/>
              <w:t>  </w:t>
            </w:r>
          </w:p>
        </w:tc>
        <w:tc>
          <w:tcPr>
            <w:tcW w:w="7518" w:type="dxa"/>
            <w:tcBorders/>
          </w:tcPr>
          <w:p>
            <w:pPr>
              <w:pStyle w:val="TableContents"/>
              <w:bidi w:val="0"/>
              <w:spacing w:before="0" w:after="283"/>
              <w:jc w:val="left"/>
              <w:rPr>
                <w:sz w:val="4"/>
                <w:szCs w:val="4"/>
              </w:rPr>
            </w:pPr>
            <w:r>
              <w:rPr>
                <w:sz w:val="4"/>
                <w:szCs w:val="4"/>
              </w:rPr>
            </w:r>
          </w:p>
        </w:tc>
      </w:tr>
      <w:tr>
        <w:trPr/>
        <w:tc>
          <w:tcPr>
            <w:tcW w:w="2564" w:type="dxa"/>
            <w:tcBorders/>
          </w:tcPr>
          <w:p>
            <w:pPr>
              <w:pStyle w:val="TableContents"/>
              <w:bidi w:val="0"/>
              <w:spacing w:before="0" w:after="283"/>
              <w:jc w:val="left"/>
              <w:rPr/>
            </w:pPr>
            <w:r>
              <w:rPr/>
              <w:t>Grant Date:</w:t>
            </w:r>
          </w:p>
        </w:tc>
        <w:tc>
          <w:tcPr>
            <w:tcW w:w="123" w:type="dxa"/>
            <w:tcBorders/>
            <w:vAlign w:val="bottom"/>
          </w:tcPr>
          <w:p>
            <w:pPr>
              <w:pStyle w:val="TableContents"/>
              <w:bidi w:val="0"/>
              <w:spacing w:before="0" w:after="283"/>
              <w:jc w:val="left"/>
              <w:rPr/>
            </w:pPr>
            <w:r>
              <w:rPr/>
              <w:t>  </w:t>
            </w:r>
          </w:p>
        </w:tc>
        <w:tc>
          <w:tcPr>
            <w:tcW w:w="7518" w:type="dxa"/>
            <w:tcBorders/>
          </w:tcPr>
          <w:p>
            <w:pPr>
              <w:pStyle w:val="TableContents"/>
              <w:bidi w:val="0"/>
              <w:spacing w:before="0" w:after="283"/>
              <w:jc w:val="left"/>
              <w:rPr/>
            </w:pPr>
            <w:r>
              <w:rPr/>
              <w:t>(the “Grant Date”)</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Damora Therapeutics, Inc. 2020 Equity Incentive Plan as amended through the date hereof (the “Plan”), Damora Therapeutics, Inc. (the “Company”) hereby grants an award of the number of Restricted Stock Units listed above (an “Award”) to the Grantee named above. Each Restricted Stock Unit shall relate to one Ordinary Share, par value $0.00001 per share (the “Shares”)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Restrictions on Transfer of Award</w:t>
      </w:r>
      <w:r>
        <w:rPr>
          <w:rFonts w:ascii="Times New Roman" w:hAnsi="Times New Roman"/>
          <w:sz w:val="20"/>
        </w:rPr>
        <w:t xml:space="preserve">. This Award may not be sold, transferred, pledged, assigned or otherwise encumbered or disposed of by the Grantee, and any Shares issuable with respect to the Award may not be sold, transferred, pledged, assigned or otherwise encumbered or disposed of until (i) the Restricted Stock Units have vested as provided in Paragraph 2 of this Agreement and (ii) Shares have been issued to the Grantee in accordance with the terms of the Plan and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Vesting of Restricted Stock Units</w:t>
      </w:r>
      <w:r>
        <w:rPr>
          <w:rFonts w:ascii="Times New Roman" w:hAnsi="Times New Roman"/>
          <w:sz w:val="20"/>
        </w:rPr>
        <w:t xml:space="preserve">. The restrictions and conditions of Paragraph 1 of this Agreement shall lapse on the Vesting Date or Dates specified in the following schedule so long as the Grantee maintains a Service Relationship with the Board, the Company or a Subsidiary on such Vesting Dates. If a series of Vesting Dates is specified, then the restrictions and conditions in Paragraph 1 shall lapse only with respect to the number of Restricted Stock Units specified as vested on such date.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828"/>
        <w:gridCol w:w="785"/>
        <w:gridCol w:w="632"/>
        <w:gridCol w:w="633"/>
        <w:gridCol w:w="61"/>
      </w:tblGrid>
      <w:tr>
        <w:trPr/>
        <w:tc>
          <w:tcPr>
            <w:tcW w:w="4828" w:type="dxa"/>
            <w:tcBorders/>
            <w:vAlign w:val="center"/>
          </w:tcPr>
          <w:p>
            <w:pPr>
              <w:pStyle w:val="TableContents"/>
              <w:bidi w:val="0"/>
              <w:spacing w:before="0" w:after="283"/>
              <w:jc w:val="left"/>
              <w:rPr>
                <w:sz w:val="4"/>
                <w:szCs w:val="4"/>
              </w:rPr>
            </w:pPr>
            <w:r>
              <w:rPr>
                <w:sz w:val="4"/>
                <w:szCs w:val="4"/>
              </w:rPr>
            </w:r>
          </w:p>
        </w:tc>
        <w:tc>
          <w:tcPr>
            <w:tcW w:w="785" w:type="dxa"/>
            <w:tcBorders/>
            <w:vAlign w:val="bottom"/>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c>
          <w:tcPr>
            <w:tcW w:w="4828"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Incremental Number of</w:t>
              <w:br/>
              <w:t>Restricted Stock Units Vested</w:t>
            </w:r>
          </w:p>
        </w:tc>
        <w:tc>
          <w:tcPr>
            <w:tcW w:w="785" w:type="dxa"/>
            <w:tcBorders/>
            <w:vAlign w:val="bottom"/>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bottom"/>
          </w:tcPr>
          <w:p>
            <w:pPr>
              <w:pStyle w:val="TableContents"/>
              <w:bidi w:val="0"/>
              <w:spacing w:before="0" w:after="283"/>
              <w:jc w:val="center"/>
              <w:rPr/>
            </w:pPr>
            <w:r>
              <w:rPr/>
              <w:t>Vesting Date</w:t>
            </w:r>
          </w:p>
        </w:tc>
        <w:tc>
          <w:tcPr>
            <w:tcW w:w="61" w:type="dxa"/>
            <w:tcBorders/>
            <w:vAlign w:val="bottom"/>
          </w:tcPr>
          <w:p>
            <w:pPr>
              <w:pStyle w:val="TableContents"/>
              <w:bidi w:val="0"/>
              <w:spacing w:before="0" w:after="283"/>
              <w:jc w:val="left"/>
              <w:rPr/>
            </w:pPr>
            <w:r>
              <w:rPr/>
              <w:t> </w:t>
            </w:r>
          </w:p>
        </w:tc>
      </w:tr>
      <w:tr>
        <w:trPr/>
        <w:tc>
          <w:tcPr>
            <w:tcW w:w="48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_____________ (___%)</w:t>
            </w:r>
          </w:p>
        </w:tc>
        <w:tc>
          <w:tcPr>
            <w:tcW w:w="785" w:type="dxa"/>
            <w:tcBorders/>
            <w:shd w:fill="CCEEFF" w:val="clear"/>
            <w:vAlign w:val="bottom"/>
          </w:tcPr>
          <w:p>
            <w:pPr>
              <w:pStyle w:val="TableContents"/>
              <w:bidi w:val="0"/>
              <w:spacing w:before="0" w:after="283"/>
              <w:jc w:val="left"/>
              <w:rPr/>
            </w:pPr>
            <w:r>
              <w:rPr/>
              <w:t>  </w:t>
            </w:r>
          </w:p>
        </w:tc>
        <w:tc>
          <w:tcPr>
            <w:tcW w:w="632" w:type="dxa"/>
            <w:tcBorders/>
            <w:shd w:fill="CCEEFF" w:val="clear"/>
            <w:vAlign w:val="bottom"/>
          </w:tcPr>
          <w:p>
            <w:pPr>
              <w:pStyle w:val="TableContents"/>
              <w:bidi w:val="0"/>
              <w:spacing w:before="0" w:after="283"/>
              <w:jc w:val="left"/>
              <w:rPr>
                <w:sz w:val="4"/>
                <w:szCs w:val="4"/>
              </w:rPr>
            </w:pPr>
            <w:r>
              <w:rPr>
                <w:sz w:val="4"/>
                <w:szCs w:val="4"/>
              </w:rPr>
            </w:r>
          </w:p>
        </w:tc>
        <w:tc>
          <w:tcPr>
            <w:tcW w:w="633"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r>
        <w:trPr/>
        <w:tc>
          <w:tcPr>
            <w:tcW w:w="4828" w:type="dxa"/>
            <w:tcBorders/>
          </w:tcPr>
          <w:p>
            <w:pPr>
              <w:pStyle w:val="TableContents"/>
              <w:bidi w:val="0"/>
              <w:spacing w:before="0" w:after="0"/>
              <w:jc w:val="left"/>
              <w:rPr>
                <w:rFonts w:ascii="Times New Roman" w:hAnsi="Times New Roman"/>
                <w:sz w:val="20"/>
              </w:rPr>
            </w:pPr>
            <w:r>
              <w:rPr>
                <w:rFonts w:ascii="Times New Roman" w:hAnsi="Times New Roman"/>
                <w:sz w:val="20"/>
              </w:rPr>
              <w:t>_____________ (___%)</w:t>
            </w:r>
          </w:p>
        </w:tc>
        <w:tc>
          <w:tcPr>
            <w:tcW w:w="785" w:type="dxa"/>
            <w:tcBorders/>
            <w:vAlign w:val="bottom"/>
          </w:tcPr>
          <w:p>
            <w:pPr>
              <w:pStyle w:val="TableContents"/>
              <w:bidi w:val="0"/>
              <w:spacing w:before="0" w:after="283"/>
              <w:jc w:val="left"/>
              <w:rPr/>
            </w:pPr>
            <w:r>
              <w:rPr/>
              <w:t>  </w:t>
            </w:r>
          </w:p>
        </w:tc>
        <w:tc>
          <w:tcPr>
            <w:tcW w:w="632" w:type="dxa"/>
            <w:tcBorders/>
            <w:vAlign w:val="bottom"/>
          </w:tcPr>
          <w:p>
            <w:pPr>
              <w:pStyle w:val="TableContents"/>
              <w:bidi w:val="0"/>
              <w:spacing w:before="0" w:after="283"/>
              <w:jc w:val="left"/>
              <w:rPr>
                <w:sz w:val="4"/>
                <w:szCs w:val="4"/>
              </w:rPr>
            </w:pPr>
            <w:r>
              <w:rPr>
                <w:sz w:val="4"/>
                <w:szCs w:val="4"/>
              </w:rPr>
            </w:r>
          </w:p>
        </w:tc>
        <w:tc>
          <w:tcPr>
            <w:tcW w:w="633"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r>
      <w:tr>
        <w:trPr/>
        <w:tc>
          <w:tcPr>
            <w:tcW w:w="48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_____________ (___%)</w:t>
            </w:r>
          </w:p>
        </w:tc>
        <w:tc>
          <w:tcPr>
            <w:tcW w:w="785" w:type="dxa"/>
            <w:tcBorders/>
            <w:shd w:fill="CCEEFF" w:val="clear"/>
            <w:vAlign w:val="bottom"/>
          </w:tcPr>
          <w:p>
            <w:pPr>
              <w:pStyle w:val="TableContents"/>
              <w:bidi w:val="0"/>
              <w:spacing w:before="0" w:after="283"/>
              <w:jc w:val="left"/>
              <w:rPr/>
            </w:pPr>
            <w:r>
              <w:rPr/>
              <w:t>  </w:t>
            </w:r>
          </w:p>
        </w:tc>
        <w:tc>
          <w:tcPr>
            <w:tcW w:w="632" w:type="dxa"/>
            <w:tcBorders/>
            <w:shd w:fill="CCEEFF" w:val="clear"/>
            <w:vAlign w:val="bottom"/>
          </w:tcPr>
          <w:p>
            <w:pPr>
              <w:pStyle w:val="TableContents"/>
              <w:bidi w:val="0"/>
              <w:spacing w:before="0" w:after="283"/>
              <w:jc w:val="left"/>
              <w:rPr>
                <w:sz w:val="4"/>
                <w:szCs w:val="4"/>
              </w:rPr>
            </w:pPr>
            <w:r>
              <w:rPr>
                <w:sz w:val="4"/>
                <w:szCs w:val="4"/>
              </w:rPr>
            </w:r>
          </w:p>
        </w:tc>
        <w:tc>
          <w:tcPr>
            <w:tcW w:w="633"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r>
        <w:trPr/>
        <w:tc>
          <w:tcPr>
            <w:tcW w:w="4828" w:type="dxa"/>
            <w:tcBorders/>
          </w:tcPr>
          <w:p>
            <w:pPr>
              <w:pStyle w:val="TableContents"/>
              <w:bidi w:val="0"/>
              <w:spacing w:before="0" w:after="0"/>
              <w:jc w:val="left"/>
              <w:rPr>
                <w:rFonts w:ascii="Times New Roman" w:hAnsi="Times New Roman"/>
                <w:sz w:val="20"/>
              </w:rPr>
            </w:pPr>
            <w:r>
              <w:rPr>
                <w:rFonts w:ascii="Times New Roman" w:hAnsi="Times New Roman"/>
                <w:sz w:val="20"/>
              </w:rPr>
              <w:t>_____________ (___%)</w:t>
            </w:r>
          </w:p>
        </w:tc>
        <w:tc>
          <w:tcPr>
            <w:tcW w:w="785" w:type="dxa"/>
            <w:tcBorders/>
            <w:vAlign w:val="bottom"/>
          </w:tcPr>
          <w:p>
            <w:pPr>
              <w:pStyle w:val="TableContents"/>
              <w:bidi w:val="0"/>
              <w:spacing w:before="0" w:after="283"/>
              <w:jc w:val="left"/>
              <w:rPr/>
            </w:pPr>
            <w:r>
              <w:rPr/>
              <w:t>  </w:t>
            </w:r>
          </w:p>
        </w:tc>
        <w:tc>
          <w:tcPr>
            <w:tcW w:w="632" w:type="dxa"/>
            <w:tcBorders/>
            <w:vAlign w:val="bottom"/>
          </w:tcPr>
          <w:p>
            <w:pPr>
              <w:pStyle w:val="TableContents"/>
              <w:bidi w:val="0"/>
              <w:spacing w:before="0" w:after="283"/>
              <w:jc w:val="left"/>
              <w:rPr>
                <w:sz w:val="4"/>
                <w:szCs w:val="4"/>
              </w:rPr>
            </w:pPr>
            <w:r>
              <w:rPr>
                <w:sz w:val="4"/>
                <w:szCs w:val="4"/>
              </w:rPr>
            </w:r>
          </w:p>
        </w:tc>
        <w:tc>
          <w:tcPr>
            <w:tcW w:w="633"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Administrator may at any time accelerate the vesting schedule specified in this Paragraph 2.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Termination of Service Relationship</w:t>
      </w:r>
      <w:r>
        <w:rPr>
          <w:rFonts w:ascii="Times New Roman" w:hAnsi="Times New Roman"/>
          <w:sz w:val="20"/>
        </w:rPr>
        <w:t xml:space="preserve">. If the Grantee’s Service Relationship with the Company and its Subsidiaries ceases for any reason (including death or disability, as reasonably determined by the Administrator in accordance with Section 409A and applicable law)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Issuance of Shares</w:t>
      </w:r>
      <w:r>
        <w:rPr>
          <w:rFonts w:ascii="Times New Roman" w:hAnsi="Times New Roman"/>
          <w:sz w:val="20"/>
        </w:rPr>
        <w:t xml:space="preserve">. As soon as practicable following each Vesting Date (but in no event later than two and one-half months after the end of the year in which the Vesting Date occurs), the Company shall issue to the Grantee the number of Shares equal to the aggregate number of Restricted Stock Units that have vested pursuant to Paragraph 2 of this Agreement on such date and the Grantee shall thereafter have all the rights of a shareholder of the Company with respect to such shares.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Incorporation of Plan</w:t>
      </w:r>
      <w:r>
        <w:rPr>
          <w:rFonts w:ascii="Times New Roman" w:hAnsi="Times New Roman"/>
          <w:sz w:val="20"/>
        </w:rPr>
        <w:t xml:space="preserve">.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Section 409A of the Code.</w:t>
      </w:r>
      <w:r>
        <w:rPr>
          <w:rFonts w:ascii="Times New Roman" w:hAnsi="Times New Roman"/>
          <w:sz w:val="20"/>
        </w:rPr>
        <w:t xml:space="preserve"> This Agreement shall be interpreted in such a manner that all provisions relating to the settlement of the Award are exempt from the requirements of Section 409A of the Code as “short-term deferrals” as described in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No Obligation to Continue as a Director</w:t>
      </w:r>
      <w:r>
        <w:rPr>
          <w:rFonts w:ascii="Times New Roman" w:hAnsi="Times New Roman"/>
          <w:sz w:val="20"/>
        </w:rPr>
        <w:t xml:space="preserve">. Neither the Plan nor this Award confers upon the Grantee any rights with respect to continuance as a Director.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Integration</w:t>
      </w:r>
      <w:r>
        <w:rPr>
          <w:rFonts w:ascii="Times New Roman" w:hAnsi="Times New Roman"/>
          <w:sz w:val="20"/>
        </w:rPr>
        <w:t xml:space="preserve">. This Agreement constitutes the entire agreement between the parties with respect to this Award and supersedes all prior agreements and discussions between the parties concerning such subject matter.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Data Privacy Consent</w:t>
      </w:r>
      <w:r>
        <w:rPr>
          <w:rFonts w:ascii="Times New Roman" w:hAnsi="Times New Roman"/>
          <w:sz w:val="20"/>
        </w:rPr>
        <w:t xml:space="preserve">.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Notices</w:t>
      </w:r>
      <w:r>
        <w:rPr>
          <w:rFonts w:ascii="Times New Roman" w:hAnsi="Times New Roman"/>
          <w:sz w:val="20"/>
        </w:rPr>
        <w:t xml:space="preserve">.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99"/>
        <w:gridCol w:w="148"/>
        <w:gridCol w:w="3135"/>
      </w:tblGrid>
      <w:tr>
        <w:trPr/>
        <w:tc>
          <w:tcPr>
            <w:tcW w:w="799"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313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DAMORA THERAPEUTICS, INC.</w:t>
            </w:r>
          </w:p>
        </w:tc>
      </w:tr>
      <w:tr>
        <w:trPr>
          <w:trHeight w:val="240" w:hRule="atLeast"/>
        </w:trPr>
        <w:tc>
          <w:tcPr>
            <w:tcW w:w="799" w:type="dxa"/>
            <w:tcBorders/>
            <w:vAlign w:val="center"/>
          </w:tcPr>
          <w:p>
            <w:pPr>
              <w:pStyle w:val="TableContents"/>
              <w:bidi w:val="0"/>
              <w:spacing w:before="0" w:after="283"/>
              <w:jc w:val="left"/>
              <w:rPr>
                <w:sz w:val="4"/>
                <w:szCs w:val="4"/>
              </w:rPr>
            </w:pPr>
            <w:r>
              <w:rPr>
                <w:sz w:val="4"/>
                <w:szCs w:val="4"/>
              </w:rPr>
            </w:r>
          </w:p>
        </w:tc>
        <w:tc>
          <w:tcPr>
            <w:tcW w:w="3283" w:type="dxa"/>
            <w:gridSpan w:val="2"/>
            <w:tcBorders/>
            <w:vAlign w:val="center"/>
          </w:tcPr>
          <w:p>
            <w:pPr>
              <w:pStyle w:val="TableContents"/>
              <w:bidi w:val="0"/>
              <w:spacing w:before="0" w:after="283"/>
              <w:jc w:val="left"/>
              <w:rPr>
                <w:sz w:val="4"/>
                <w:szCs w:val="4"/>
              </w:rPr>
            </w:pPr>
            <w:r>
              <w:rPr>
                <w:sz w:val="4"/>
                <w:szCs w:val="4"/>
              </w:rPr>
            </w:r>
          </w:p>
        </w:tc>
      </w:tr>
      <w:tr>
        <w:trPr/>
        <w:tc>
          <w:tcPr>
            <w:tcW w:w="799" w:type="dxa"/>
            <w:tcBorders/>
          </w:tcPr>
          <w:p>
            <w:pPr>
              <w:pStyle w:val="TableContents"/>
              <w:bidi w:val="0"/>
              <w:spacing w:before="0" w:after="283"/>
              <w:jc w:val="left"/>
              <w:rPr/>
            </w:pPr>
            <w:r>
              <w:rPr/>
              <w:t>By:</w:t>
            </w:r>
          </w:p>
        </w:tc>
        <w:tc>
          <w:tcPr>
            <w:tcW w:w="148" w:type="dxa"/>
            <w:tcBorders/>
            <w:vAlign w:val="bottom"/>
          </w:tcPr>
          <w:p>
            <w:pPr>
              <w:pStyle w:val="TableContents"/>
              <w:bidi w:val="0"/>
              <w:spacing w:before="0" w:after="283"/>
              <w:jc w:val="left"/>
              <w:rPr/>
            </w:pPr>
            <w:r>
              <w:rPr/>
              <w:t> </w:t>
            </w:r>
          </w:p>
        </w:tc>
        <w:tc>
          <w:tcPr>
            <w:tcW w:w="3135" w:type="dxa"/>
            <w:tcBorders/>
          </w:tcPr>
          <w:p>
            <w:pPr>
              <w:pStyle w:val="TableContents"/>
              <w:pBdr>
                <w:bottom w:val="single" w:sz="2" w:space="1" w:color="000000"/>
              </w:pBdr>
              <w:bidi w:val="0"/>
              <w:spacing w:before="0" w:after="20"/>
              <w:jc w:val="left"/>
              <w:rPr/>
            </w:pPr>
            <w:r>
              <w:rPr/>
              <w:t> </w:t>
            </w:r>
          </w:p>
        </w:tc>
      </w:tr>
      <w:tr>
        <w:trPr/>
        <w:tc>
          <w:tcPr>
            <w:tcW w:w="799"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3135" w:type="dxa"/>
            <w:tcBorders/>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Agreement is hereby accepted and the terms and conditions thereof hereby agreed to by the undersigned. Electronic acceptance of this Agreement pursuant to the Company’s instructions to the Grantee (including through an online acceptance process) is acceptable. </w:t>
      </w:r>
    </w:p>
    <w:p>
      <w:pPr>
        <w:pStyle w:val="TextBody"/>
        <w:bidi w:val="0"/>
        <w:spacing w:before="240" w:after="0"/>
        <w:jc w:val="left"/>
        <w:rPr>
          <w:rFonts w:ascii="Times New Roman" w:hAnsi="Times New Roman"/>
          <w:sz w:val="20"/>
        </w:rPr>
      </w:pPr>
      <w:r>
        <w:rPr>
          <w:rFonts w:ascii="Times New Roman" w:hAnsi="Times New Roman"/>
          <w:sz w:val="20"/>
        </w:rPr>
        <w:t xml:space="preserve">Dated: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Grantee’s Signature</w:t>
            </w:r>
          </w:p>
        </w:tc>
      </w:tr>
      <w:tr>
        <w:trPr>
          <w:trHeight w:val="12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Grantee’s name and address:</w:t>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pBdr>
                <w:bottom w:val="single" w:sz="2" w:space="1" w:color="000000"/>
              </w:pBdr>
              <w:bidi w:val="0"/>
              <w:spacing w:before="0" w:after="20"/>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RESTRICTED STOCK AWARD AGREEMENT </w:t>
      </w:r>
    </w:p>
    <w:p>
      <w:pPr>
        <w:pStyle w:val="TextBody"/>
        <w:bidi w:val="0"/>
        <w:spacing w:before="0" w:after="0"/>
        <w:jc w:val="center"/>
        <w:rPr>
          <w:rFonts w:ascii="Times New Roman" w:hAnsi="Times New Roman"/>
          <w:b/>
          <w:sz w:val="20"/>
        </w:rPr>
      </w:pPr>
      <w:r>
        <w:rPr>
          <w:rFonts w:ascii="Times New Roman" w:hAnsi="Times New Roman"/>
          <w:b/>
          <w:sz w:val="20"/>
        </w:rPr>
        <w:t xml:space="preserve">UNDER THE DAMORA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2020 EQUITY INCENTIVE PLAN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64"/>
        <w:gridCol w:w="221"/>
        <w:gridCol w:w="8320"/>
      </w:tblGrid>
      <w:tr>
        <w:trPr/>
        <w:tc>
          <w:tcPr>
            <w:tcW w:w="1664"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8320" w:type="dxa"/>
            <w:tcBorders/>
            <w:vAlign w:val="center"/>
          </w:tcPr>
          <w:p>
            <w:pPr>
              <w:pStyle w:val="TableContents"/>
              <w:bidi w:val="0"/>
              <w:spacing w:before="0" w:after="283"/>
              <w:jc w:val="left"/>
              <w:rPr>
                <w:sz w:val="4"/>
                <w:szCs w:val="4"/>
              </w:rPr>
            </w:pPr>
            <w:r>
              <w:rPr>
                <w:sz w:val="4"/>
                <w:szCs w:val="4"/>
              </w:rPr>
            </w:r>
          </w:p>
        </w:tc>
      </w:tr>
      <w:tr>
        <w:trPr/>
        <w:tc>
          <w:tcPr>
            <w:tcW w:w="1664" w:type="dxa"/>
            <w:tcBorders/>
          </w:tcPr>
          <w:p>
            <w:pPr>
              <w:pStyle w:val="TableContents"/>
              <w:bidi w:val="0"/>
              <w:spacing w:before="0" w:after="283"/>
              <w:jc w:val="left"/>
              <w:rPr/>
            </w:pPr>
            <w:r>
              <w:rPr/>
              <w:t>Name of Grantee:</w:t>
            </w:r>
          </w:p>
        </w:tc>
        <w:tc>
          <w:tcPr>
            <w:tcW w:w="221" w:type="dxa"/>
            <w:tcBorders/>
            <w:vAlign w:val="bottom"/>
          </w:tcPr>
          <w:p>
            <w:pPr>
              <w:pStyle w:val="TableContents"/>
              <w:bidi w:val="0"/>
              <w:spacing w:before="0" w:after="283"/>
              <w:jc w:val="left"/>
              <w:rPr/>
            </w:pPr>
            <w:r>
              <w:rPr/>
              <w:t>  </w:t>
            </w:r>
          </w:p>
        </w:tc>
        <w:tc>
          <w:tcPr>
            <w:tcW w:w="8320" w:type="dxa"/>
            <w:tcBorders/>
          </w:tcPr>
          <w:p>
            <w:pPr>
              <w:pStyle w:val="TableContents"/>
              <w:bidi w:val="0"/>
              <w:spacing w:before="0" w:after="283"/>
              <w:jc w:val="left"/>
              <w:rPr>
                <w:sz w:val="4"/>
                <w:szCs w:val="4"/>
              </w:rPr>
            </w:pPr>
            <w:r>
              <w:rPr>
                <w:sz w:val="4"/>
                <w:szCs w:val="4"/>
              </w:rPr>
            </w:r>
          </w:p>
        </w:tc>
      </w:tr>
      <w:tr>
        <w:trPr>
          <w:trHeight w:val="120" w:hRule="atLeast"/>
        </w:trPr>
        <w:tc>
          <w:tcPr>
            <w:tcW w:w="1664" w:type="dxa"/>
            <w:tcBorders/>
            <w:vAlign w:val="center"/>
          </w:tcPr>
          <w:p>
            <w:pPr>
              <w:pStyle w:val="TableContents"/>
              <w:bidi w:val="0"/>
              <w:spacing w:before="0" w:after="283"/>
              <w:jc w:val="left"/>
              <w:rPr>
                <w:sz w:val="4"/>
                <w:szCs w:val="4"/>
              </w:rPr>
            </w:pPr>
            <w:r>
              <w:rPr>
                <w:sz w:val="4"/>
                <w:szCs w:val="4"/>
              </w:rPr>
            </w:r>
          </w:p>
        </w:tc>
        <w:tc>
          <w:tcPr>
            <w:tcW w:w="8541" w:type="dxa"/>
            <w:gridSpan w:val="2"/>
            <w:tcBorders/>
            <w:vAlign w:val="center"/>
          </w:tcPr>
          <w:p>
            <w:pPr>
              <w:pStyle w:val="TableContents"/>
              <w:bidi w:val="0"/>
              <w:spacing w:before="0" w:after="283"/>
              <w:jc w:val="left"/>
              <w:rPr>
                <w:sz w:val="4"/>
                <w:szCs w:val="4"/>
              </w:rPr>
            </w:pPr>
            <w:r>
              <w:rPr>
                <w:sz w:val="4"/>
                <w:szCs w:val="4"/>
              </w:rPr>
            </w:r>
          </w:p>
        </w:tc>
      </w:tr>
      <w:tr>
        <w:trPr/>
        <w:tc>
          <w:tcPr>
            <w:tcW w:w="1664" w:type="dxa"/>
            <w:tcBorders/>
          </w:tcPr>
          <w:p>
            <w:pPr>
              <w:pStyle w:val="TableContents"/>
              <w:bidi w:val="0"/>
              <w:spacing w:before="0" w:after="283"/>
              <w:jc w:val="left"/>
              <w:rPr/>
            </w:pPr>
            <w:r>
              <w:rPr/>
              <w:t>No. of Shares:</w:t>
            </w:r>
          </w:p>
        </w:tc>
        <w:tc>
          <w:tcPr>
            <w:tcW w:w="221" w:type="dxa"/>
            <w:tcBorders/>
            <w:vAlign w:val="bottom"/>
          </w:tcPr>
          <w:p>
            <w:pPr>
              <w:pStyle w:val="TableContents"/>
              <w:bidi w:val="0"/>
              <w:spacing w:before="0" w:after="283"/>
              <w:jc w:val="left"/>
              <w:rPr/>
            </w:pPr>
            <w:r>
              <w:rPr/>
              <w:t>  </w:t>
            </w:r>
          </w:p>
        </w:tc>
        <w:tc>
          <w:tcPr>
            <w:tcW w:w="8320" w:type="dxa"/>
            <w:tcBorders/>
          </w:tcPr>
          <w:p>
            <w:pPr>
              <w:pStyle w:val="TableContents"/>
              <w:bidi w:val="0"/>
              <w:spacing w:before="0" w:after="283"/>
              <w:jc w:val="left"/>
              <w:rPr>
                <w:sz w:val="4"/>
                <w:szCs w:val="4"/>
              </w:rPr>
            </w:pPr>
            <w:r>
              <w:rPr>
                <w:sz w:val="4"/>
                <w:szCs w:val="4"/>
              </w:rPr>
            </w:r>
          </w:p>
        </w:tc>
      </w:tr>
      <w:tr>
        <w:trPr>
          <w:trHeight w:val="120" w:hRule="atLeast"/>
        </w:trPr>
        <w:tc>
          <w:tcPr>
            <w:tcW w:w="1664" w:type="dxa"/>
            <w:tcBorders/>
            <w:vAlign w:val="center"/>
          </w:tcPr>
          <w:p>
            <w:pPr>
              <w:pStyle w:val="TableContents"/>
              <w:bidi w:val="0"/>
              <w:spacing w:before="0" w:after="283"/>
              <w:jc w:val="left"/>
              <w:rPr>
                <w:sz w:val="4"/>
                <w:szCs w:val="4"/>
              </w:rPr>
            </w:pPr>
            <w:r>
              <w:rPr>
                <w:sz w:val="4"/>
                <w:szCs w:val="4"/>
              </w:rPr>
            </w:r>
          </w:p>
        </w:tc>
        <w:tc>
          <w:tcPr>
            <w:tcW w:w="8541" w:type="dxa"/>
            <w:gridSpan w:val="2"/>
            <w:tcBorders/>
            <w:vAlign w:val="center"/>
          </w:tcPr>
          <w:p>
            <w:pPr>
              <w:pStyle w:val="TableContents"/>
              <w:bidi w:val="0"/>
              <w:spacing w:before="0" w:after="283"/>
              <w:jc w:val="left"/>
              <w:rPr>
                <w:sz w:val="4"/>
                <w:szCs w:val="4"/>
              </w:rPr>
            </w:pPr>
            <w:r>
              <w:rPr>
                <w:sz w:val="4"/>
                <w:szCs w:val="4"/>
              </w:rPr>
            </w:r>
          </w:p>
        </w:tc>
      </w:tr>
      <w:tr>
        <w:trPr/>
        <w:tc>
          <w:tcPr>
            <w:tcW w:w="1664" w:type="dxa"/>
            <w:tcBorders/>
          </w:tcPr>
          <w:p>
            <w:pPr>
              <w:pStyle w:val="TableContents"/>
              <w:bidi w:val="0"/>
              <w:spacing w:before="0" w:after="283"/>
              <w:jc w:val="left"/>
              <w:rPr/>
            </w:pPr>
            <w:r>
              <w:rPr/>
              <w:t>Grant Date:</w:t>
            </w:r>
          </w:p>
        </w:tc>
        <w:tc>
          <w:tcPr>
            <w:tcW w:w="221" w:type="dxa"/>
            <w:tcBorders/>
            <w:vAlign w:val="bottom"/>
          </w:tcPr>
          <w:p>
            <w:pPr>
              <w:pStyle w:val="TableContents"/>
              <w:bidi w:val="0"/>
              <w:spacing w:before="0" w:after="283"/>
              <w:jc w:val="left"/>
              <w:rPr/>
            </w:pPr>
            <w:r>
              <w:rPr/>
              <w:t>  </w:t>
            </w:r>
          </w:p>
        </w:tc>
        <w:tc>
          <w:tcPr>
            <w:tcW w:w="8320" w:type="dxa"/>
            <w:tcBorders/>
          </w:tcPr>
          <w:p>
            <w:pPr>
              <w:pStyle w:val="TableContents"/>
              <w:bidi w:val="0"/>
              <w:spacing w:before="0" w:after="283"/>
              <w:jc w:val="left"/>
              <w:rPr/>
            </w:pPr>
            <w:r>
              <w:rPr/>
              <w:t>(the “Grant Date”)</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Damora Therapeutics, Inc. 2020 Equity Incentive Plan (the “Plan”) as amended through the date hereof, Damora Therapeutics, Inc. (the “Company”) hereby grants a Restricted Stock Award (an “Award”) to the Grantee named above. Upon acceptance of this Award, the Grantee shall receive the number of Ordinary Shares, par value $0.00001 per share (the “Shares”) of the Company specified above, subject to the restrictions and conditions set forth herein and in the Plan. The Company acknowledges the receipt from the Grantee of consideration with respect to the par value of the Shares in the form of cash, past or future services rendered to the Company by the Grantee or such other form of consideration as is acceptable to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Award</w:t>
      </w:r>
      <w:r>
        <w:rPr>
          <w:rFonts w:ascii="Times New Roman" w:hAnsi="Times New Roman"/>
          <w:sz w:val="20"/>
        </w:rPr>
        <w:t xml:space="preserve">. The Restricted Shares awarded hereunder shall be issued and held by the Company’s transfer agent in book entry form, and the Grantee’s name shall be entered as the shareholder of record in the register of members of the Company. Thereupon, the Grantee shall have all the rights of a shareholder with respect to such shares, including voting and dividend rights, subject, however, to the restrictions and conditions specified in Paragraph 2 below. The Grantee shall (i) sign and deliver to the Company a copy of this Award Agreement and (ii) deliver to the Company an instrument of transfer executed in blank.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Restrictions and Conditions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Any book entries for Restricted Shares granted herein shall bear an appropriate legend, as determined by the Administrator in its sole discretion, to the effect that such shares are subject to restrictions as set forth herein and in the Plan. </w:t>
      </w:r>
    </w:p>
    <w:p>
      <w:pPr>
        <w:pStyle w:val="TextBody"/>
        <w:bidi w:val="0"/>
        <w:spacing w:before="240" w:after="0"/>
        <w:jc w:val="left"/>
        <w:rPr>
          <w:rFonts w:ascii="Times New Roman" w:hAnsi="Times New Roman"/>
          <w:sz w:val="20"/>
        </w:rPr>
      </w:pPr>
      <w:r>
        <w:rPr>
          <w:rFonts w:ascii="Times New Roman" w:hAnsi="Times New Roman"/>
          <w:sz w:val="20"/>
        </w:rPr>
        <w:t xml:space="preserve">(b) Restricted Shares granted herein may not be sold, assigned, transferred, pledged or otherwise encumbered or disposed of by the Grantee prior to vesting. </w:t>
      </w:r>
    </w:p>
    <w:p>
      <w:pPr>
        <w:pStyle w:val="TextBody"/>
        <w:bidi w:val="0"/>
        <w:spacing w:before="240" w:after="0"/>
        <w:jc w:val="left"/>
        <w:rPr>
          <w:rFonts w:ascii="Times New Roman" w:hAnsi="Times New Roman"/>
          <w:sz w:val="20"/>
        </w:rPr>
      </w:pPr>
      <w:r>
        <w:rPr>
          <w:rFonts w:ascii="Times New Roman" w:hAnsi="Times New Roman"/>
          <w:sz w:val="20"/>
        </w:rPr>
        <w:t xml:space="preserve">(c) If the Grantee’s Service Relationship with the Company and its Subsidiaries ceases for any reason (including death) prior to vesting of Restricted Shares granted herein, all Restricted Shares shall immediately and automatically be forfeited and returned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Vesting of Restricted Shares</w:t>
      </w:r>
      <w:r>
        <w:rPr>
          <w:rFonts w:ascii="Times New Roman" w:hAnsi="Times New Roman"/>
          <w:sz w:val="20"/>
        </w:rPr>
        <w:t xml:space="preserve">. The restrictions and conditions in Paragraph 2 of this Agreement shall lapse on the Vesting Date or Dates specified in the following schedule so long as the Grantee maintains a Service Relationship with the Company or a Subsidiary on such Vesting Dates. If a series of Vesting Dates is specified, then the restrictions and conditions in Paragraph 2 shall lapse only with respect to the number of Restricted Shares specified as vested on such date.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829"/>
        <w:gridCol w:w="784"/>
        <w:gridCol w:w="632"/>
        <w:gridCol w:w="633"/>
        <w:gridCol w:w="61"/>
      </w:tblGrid>
      <w:tr>
        <w:trPr/>
        <w:tc>
          <w:tcPr>
            <w:tcW w:w="4829" w:type="dxa"/>
            <w:tcBorders/>
            <w:vAlign w:val="center"/>
          </w:tcPr>
          <w:p>
            <w:pPr>
              <w:pStyle w:val="TableContents"/>
              <w:bidi w:val="0"/>
              <w:spacing w:before="0" w:after="283"/>
              <w:jc w:val="left"/>
              <w:rPr>
                <w:sz w:val="4"/>
                <w:szCs w:val="4"/>
              </w:rPr>
            </w:pPr>
            <w:r>
              <w:rPr>
                <w:sz w:val="4"/>
                <w:szCs w:val="4"/>
              </w:rPr>
            </w:r>
          </w:p>
        </w:tc>
        <w:tc>
          <w:tcPr>
            <w:tcW w:w="784" w:type="dxa"/>
            <w:tcBorders/>
            <w:vAlign w:val="bottom"/>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c>
          <w:tcPr>
            <w:tcW w:w="4829"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Incremental Number</w:t>
            </w:r>
          </w:p>
          <w:p>
            <w:pPr>
              <w:pStyle w:val="TableContents"/>
              <w:pBdr>
                <w:bottom w:val="single" w:sz="8" w:space="1" w:color="000000"/>
              </w:pBdr>
              <w:bidi w:val="0"/>
              <w:spacing w:before="0" w:after="20"/>
              <w:jc w:val="left"/>
              <w:rPr>
                <w:rFonts w:ascii="Times New Roman" w:hAnsi="Times New Roman"/>
                <w:sz w:val="16"/>
              </w:rPr>
            </w:pPr>
            <w:r>
              <w:rPr>
                <w:rFonts w:ascii="Times New Roman" w:hAnsi="Times New Roman"/>
                <w:sz w:val="16"/>
              </w:rPr>
              <w:t>of Shares Vested</w:t>
            </w:r>
          </w:p>
        </w:tc>
        <w:tc>
          <w:tcPr>
            <w:tcW w:w="784" w:type="dxa"/>
            <w:tcBorders/>
            <w:vAlign w:val="bottom"/>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bottom"/>
          </w:tcPr>
          <w:p>
            <w:pPr>
              <w:pStyle w:val="TableContents"/>
              <w:bidi w:val="0"/>
              <w:spacing w:before="0" w:after="283"/>
              <w:jc w:val="center"/>
              <w:rPr/>
            </w:pPr>
            <w:r>
              <w:rPr/>
              <w:t>Vesting Date</w:t>
            </w:r>
          </w:p>
        </w:tc>
        <w:tc>
          <w:tcPr>
            <w:tcW w:w="61" w:type="dxa"/>
            <w:tcBorders/>
            <w:vAlign w:val="bottom"/>
          </w:tcPr>
          <w:p>
            <w:pPr>
              <w:pStyle w:val="TableContents"/>
              <w:bidi w:val="0"/>
              <w:spacing w:before="0" w:after="283"/>
              <w:jc w:val="left"/>
              <w:rPr/>
            </w:pPr>
            <w:r>
              <w:rPr/>
              <w:t> </w:t>
            </w:r>
          </w:p>
        </w:tc>
      </w:tr>
      <w:tr>
        <w:trPr/>
        <w:tc>
          <w:tcPr>
            <w:tcW w:w="48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_____________ (___%)</w:t>
            </w:r>
          </w:p>
        </w:tc>
        <w:tc>
          <w:tcPr>
            <w:tcW w:w="784" w:type="dxa"/>
            <w:tcBorders/>
            <w:shd w:fill="CCEEFF" w:val="clear"/>
            <w:vAlign w:val="bottom"/>
          </w:tcPr>
          <w:p>
            <w:pPr>
              <w:pStyle w:val="TableContents"/>
              <w:bidi w:val="0"/>
              <w:spacing w:before="0" w:after="283"/>
              <w:jc w:val="left"/>
              <w:rPr/>
            </w:pPr>
            <w:r>
              <w:rPr/>
              <w:t>  </w:t>
            </w:r>
          </w:p>
        </w:tc>
        <w:tc>
          <w:tcPr>
            <w:tcW w:w="632" w:type="dxa"/>
            <w:tcBorders/>
            <w:shd w:fill="CCEEFF" w:val="clear"/>
            <w:vAlign w:val="bottom"/>
          </w:tcPr>
          <w:p>
            <w:pPr>
              <w:pStyle w:val="TableContents"/>
              <w:bidi w:val="0"/>
              <w:spacing w:before="0" w:after="283"/>
              <w:jc w:val="left"/>
              <w:rPr>
                <w:sz w:val="4"/>
                <w:szCs w:val="4"/>
              </w:rPr>
            </w:pPr>
            <w:r>
              <w:rPr>
                <w:sz w:val="4"/>
                <w:szCs w:val="4"/>
              </w:rPr>
            </w:r>
          </w:p>
        </w:tc>
        <w:tc>
          <w:tcPr>
            <w:tcW w:w="633"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r>
        <w:trPr/>
        <w:tc>
          <w:tcPr>
            <w:tcW w:w="4829" w:type="dxa"/>
            <w:tcBorders/>
          </w:tcPr>
          <w:p>
            <w:pPr>
              <w:pStyle w:val="TableContents"/>
              <w:bidi w:val="0"/>
              <w:spacing w:before="0" w:after="0"/>
              <w:jc w:val="left"/>
              <w:rPr>
                <w:rFonts w:ascii="Times New Roman" w:hAnsi="Times New Roman"/>
                <w:sz w:val="20"/>
              </w:rPr>
            </w:pPr>
            <w:r>
              <w:rPr>
                <w:rFonts w:ascii="Times New Roman" w:hAnsi="Times New Roman"/>
                <w:sz w:val="20"/>
              </w:rPr>
              <w:t>_____________ (___%)</w:t>
            </w:r>
          </w:p>
        </w:tc>
        <w:tc>
          <w:tcPr>
            <w:tcW w:w="784" w:type="dxa"/>
            <w:tcBorders/>
            <w:vAlign w:val="bottom"/>
          </w:tcPr>
          <w:p>
            <w:pPr>
              <w:pStyle w:val="TableContents"/>
              <w:bidi w:val="0"/>
              <w:spacing w:before="0" w:after="283"/>
              <w:jc w:val="left"/>
              <w:rPr/>
            </w:pPr>
            <w:r>
              <w:rPr/>
              <w:t>  </w:t>
            </w:r>
          </w:p>
        </w:tc>
        <w:tc>
          <w:tcPr>
            <w:tcW w:w="632" w:type="dxa"/>
            <w:tcBorders/>
            <w:vAlign w:val="bottom"/>
          </w:tcPr>
          <w:p>
            <w:pPr>
              <w:pStyle w:val="TableContents"/>
              <w:bidi w:val="0"/>
              <w:spacing w:before="0" w:after="283"/>
              <w:jc w:val="left"/>
              <w:rPr>
                <w:sz w:val="4"/>
                <w:szCs w:val="4"/>
              </w:rPr>
            </w:pPr>
            <w:r>
              <w:rPr>
                <w:sz w:val="4"/>
                <w:szCs w:val="4"/>
              </w:rPr>
            </w:r>
          </w:p>
        </w:tc>
        <w:tc>
          <w:tcPr>
            <w:tcW w:w="633"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r>
      <w:tr>
        <w:trPr/>
        <w:tc>
          <w:tcPr>
            <w:tcW w:w="48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_____________ (___%)</w:t>
            </w:r>
          </w:p>
        </w:tc>
        <w:tc>
          <w:tcPr>
            <w:tcW w:w="784" w:type="dxa"/>
            <w:tcBorders/>
            <w:shd w:fill="CCEEFF" w:val="clear"/>
            <w:vAlign w:val="bottom"/>
          </w:tcPr>
          <w:p>
            <w:pPr>
              <w:pStyle w:val="TableContents"/>
              <w:bidi w:val="0"/>
              <w:spacing w:before="0" w:after="283"/>
              <w:jc w:val="left"/>
              <w:rPr/>
            </w:pPr>
            <w:r>
              <w:rPr/>
              <w:t>  </w:t>
            </w:r>
          </w:p>
        </w:tc>
        <w:tc>
          <w:tcPr>
            <w:tcW w:w="632" w:type="dxa"/>
            <w:tcBorders/>
            <w:shd w:fill="CCEEFF" w:val="clear"/>
            <w:vAlign w:val="bottom"/>
          </w:tcPr>
          <w:p>
            <w:pPr>
              <w:pStyle w:val="TableContents"/>
              <w:bidi w:val="0"/>
              <w:spacing w:before="0" w:after="283"/>
              <w:jc w:val="left"/>
              <w:rPr>
                <w:sz w:val="4"/>
                <w:szCs w:val="4"/>
              </w:rPr>
            </w:pPr>
            <w:r>
              <w:rPr>
                <w:sz w:val="4"/>
                <w:szCs w:val="4"/>
              </w:rPr>
            </w:r>
          </w:p>
        </w:tc>
        <w:tc>
          <w:tcPr>
            <w:tcW w:w="633"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r>
        <w:trPr/>
        <w:tc>
          <w:tcPr>
            <w:tcW w:w="4829" w:type="dxa"/>
            <w:tcBorders/>
          </w:tcPr>
          <w:p>
            <w:pPr>
              <w:pStyle w:val="TableContents"/>
              <w:bidi w:val="0"/>
              <w:spacing w:before="0" w:after="0"/>
              <w:jc w:val="left"/>
              <w:rPr>
                <w:rFonts w:ascii="Times New Roman" w:hAnsi="Times New Roman"/>
                <w:sz w:val="20"/>
              </w:rPr>
            </w:pPr>
            <w:r>
              <w:rPr>
                <w:rFonts w:ascii="Times New Roman" w:hAnsi="Times New Roman"/>
                <w:sz w:val="20"/>
              </w:rPr>
              <w:t>_____________ (___%)</w:t>
            </w:r>
          </w:p>
        </w:tc>
        <w:tc>
          <w:tcPr>
            <w:tcW w:w="784" w:type="dxa"/>
            <w:tcBorders/>
            <w:vAlign w:val="bottom"/>
          </w:tcPr>
          <w:p>
            <w:pPr>
              <w:pStyle w:val="TableContents"/>
              <w:bidi w:val="0"/>
              <w:spacing w:before="0" w:after="283"/>
              <w:jc w:val="left"/>
              <w:rPr/>
            </w:pPr>
            <w:r>
              <w:rPr/>
              <w:t>  </w:t>
            </w:r>
          </w:p>
        </w:tc>
        <w:tc>
          <w:tcPr>
            <w:tcW w:w="632" w:type="dxa"/>
            <w:tcBorders/>
            <w:vAlign w:val="bottom"/>
          </w:tcPr>
          <w:p>
            <w:pPr>
              <w:pStyle w:val="TableContents"/>
              <w:bidi w:val="0"/>
              <w:spacing w:before="0" w:after="283"/>
              <w:jc w:val="left"/>
              <w:rPr>
                <w:sz w:val="4"/>
                <w:szCs w:val="4"/>
              </w:rPr>
            </w:pPr>
            <w:r>
              <w:rPr>
                <w:sz w:val="4"/>
                <w:szCs w:val="4"/>
              </w:rPr>
            </w:r>
          </w:p>
        </w:tc>
        <w:tc>
          <w:tcPr>
            <w:tcW w:w="633"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r>
      <w:tr>
        <w:trPr/>
        <w:tc>
          <w:tcPr>
            <w:tcW w:w="48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_____________ (___%)</w:t>
            </w:r>
          </w:p>
        </w:tc>
        <w:tc>
          <w:tcPr>
            <w:tcW w:w="784" w:type="dxa"/>
            <w:tcBorders/>
            <w:shd w:fill="CCEEFF" w:val="clear"/>
            <w:vAlign w:val="bottom"/>
          </w:tcPr>
          <w:p>
            <w:pPr>
              <w:pStyle w:val="TableContents"/>
              <w:bidi w:val="0"/>
              <w:spacing w:before="0" w:after="283"/>
              <w:jc w:val="left"/>
              <w:rPr/>
            </w:pPr>
            <w:r>
              <w:rPr/>
              <w:t>  </w:t>
            </w:r>
          </w:p>
        </w:tc>
        <w:tc>
          <w:tcPr>
            <w:tcW w:w="632" w:type="dxa"/>
            <w:tcBorders/>
            <w:shd w:fill="CCEEFF" w:val="clear"/>
            <w:vAlign w:val="bottom"/>
          </w:tcPr>
          <w:p>
            <w:pPr>
              <w:pStyle w:val="TableContents"/>
              <w:bidi w:val="0"/>
              <w:spacing w:before="0" w:after="283"/>
              <w:jc w:val="left"/>
              <w:rPr>
                <w:sz w:val="4"/>
                <w:szCs w:val="4"/>
              </w:rPr>
            </w:pPr>
            <w:r>
              <w:rPr>
                <w:sz w:val="4"/>
                <w:szCs w:val="4"/>
              </w:rPr>
            </w:r>
          </w:p>
        </w:tc>
        <w:tc>
          <w:tcPr>
            <w:tcW w:w="633"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Subsequent to such Vesting Date or Dates, the Shares on which all restrictions and conditions have lapsed shall no longer be deemed Restricted Shares. The Administrator may at any time accelerate the vesting schedule specified in this Paragraph 3.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Dividends</w:t>
      </w:r>
      <w:r>
        <w:rPr>
          <w:rFonts w:ascii="Times New Roman" w:hAnsi="Times New Roman"/>
          <w:sz w:val="20"/>
        </w:rPr>
        <w:t xml:space="preserve">. Dividends on shares of Restricted Shares shall be paid in accordance with the Plan.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Incorporation of Plan</w:t>
      </w:r>
      <w:r>
        <w:rPr>
          <w:rFonts w:ascii="Times New Roman" w:hAnsi="Times New Roman"/>
          <w:sz w:val="20"/>
        </w:rPr>
        <w:t xml:space="preserve">. Notwithstanding anything herein to the contrary, this Award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Transferability</w:t>
      </w:r>
      <w:r>
        <w:rPr>
          <w:rFonts w:ascii="Times New Roman" w:hAnsi="Times New Roman"/>
          <w:sz w:val="20"/>
        </w:rPr>
        <w:t xml:space="preserve">. This Agreement is personal to the Grantee, is non-assignable and is not transferable in any manner, by operation of law or otherwise, other than by will or the laws of descent and distribution.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Tax Withholding</w:t>
      </w:r>
      <w:r>
        <w:rPr>
          <w:rFonts w:ascii="Times New Roman" w:hAnsi="Times New Roman"/>
          <w:sz w:val="20"/>
        </w:rPr>
        <w:t xml:space="preserve">.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Except in the case where an election is made pursuant to Paragraph 8 below, the Company shall have the authority to cause the required minimum tax withholding obligation to be satisfied, in whole or in part, by withholding from Shares to be issued or released by the transfer agent a number of Shares with an aggregate Fair Market Value that would satisfy the minimum withholding amount due.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Election Under Section 83(b)</w:t>
      </w:r>
      <w:r>
        <w:rPr>
          <w:rFonts w:ascii="Times New Roman" w:hAnsi="Times New Roman"/>
          <w:sz w:val="20"/>
        </w:rPr>
        <w:t xml:space="preserve">. The Grantee and the Company hereby agree that the Grantee may, within 30 days following the Grant Date of this Award, file with the Internal Revenue Service and the Company an election under Section 83(b) of the Internal Revenue Code. In the event the Grantee makes such an election, he or she agrees to provide a copy of the election to the Company. The Grantee acknowledges that he or she is responsible for obtaining the advice of his or her tax advisors with regard to the Section 83(b) election and that he or she is relying solely on such advisors and not on any statements or representations of the Company or any of its agents with regard to such election.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No Obligation to Continue Service Relationship</w:t>
      </w:r>
      <w:r>
        <w:rPr>
          <w:rFonts w:ascii="Times New Roman" w:hAnsi="Times New Roman"/>
          <w:sz w:val="20"/>
        </w:rPr>
        <w:t xml:space="preserve">. Neither the Company nor any Subsidiary is obligated by or as a result of the Plan or this Agreement to continue the Grantee in employment and neither the Plan nor this Agreement shall interfere in any way with the right of the Company or any Subsidiary to terminate the Service Relationship of the Grantee at any time.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Integration</w:t>
      </w:r>
      <w:r>
        <w:rPr>
          <w:rFonts w:ascii="Times New Roman" w:hAnsi="Times New Roman"/>
          <w:sz w:val="20"/>
        </w:rPr>
        <w:t xml:space="preserve">. This Agreement constitutes the entire agreement between the parties with respect to this Award and supersedes all prior agreements and discussions between the parties concerning such subject matter.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Data Privacy Consent</w:t>
      </w:r>
      <w:r>
        <w:rPr>
          <w:rFonts w:ascii="Times New Roman" w:hAnsi="Times New Roman"/>
          <w:sz w:val="20"/>
        </w:rPr>
        <w:t xml:space="preserve">.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Notices</w:t>
      </w:r>
      <w:r>
        <w:rPr>
          <w:rFonts w:ascii="Times New Roman" w:hAnsi="Times New Roman"/>
          <w:sz w:val="20"/>
        </w:rPr>
        <w:t xml:space="preserve">.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the page intentionally left blank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99"/>
        <w:gridCol w:w="148"/>
        <w:gridCol w:w="3135"/>
      </w:tblGrid>
      <w:tr>
        <w:trPr/>
        <w:tc>
          <w:tcPr>
            <w:tcW w:w="799"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313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DAMORA THERAPEUTICS, INC.</w:t>
            </w:r>
          </w:p>
        </w:tc>
      </w:tr>
      <w:tr>
        <w:trPr>
          <w:trHeight w:val="240" w:hRule="atLeast"/>
        </w:trPr>
        <w:tc>
          <w:tcPr>
            <w:tcW w:w="799" w:type="dxa"/>
            <w:tcBorders/>
            <w:vAlign w:val="center"/>
          </w:tcPr>
          <w:p>
            <w:pPr>
              <w:pStyle w:val="TableContents"/>
              <w:bidi w:val="0"/>
              <w:spacing w:before="0" w:after="283"/>
              <w:jc w:val="left"/>
              <w:rPr>
                <w:sz w:val="4"/>
                <w:szCs w:val="4"/>
              </w:rPr>
            </w:pPr>
            <w:r>
              <w:rPr>
                <w:sz w:val="4"/>
                <w:szCs w:val="4"/>
              </w:rPr>
            </w:r>
          </w:p>
        </w:tc>
        <w:tc>
          <w:tcPr>
            <w:tcW w:w="3283" w:type="dxa"/>
            <w:gridSpan w:val="2"/>
            <w:tcBorders/>
            <w:vAlign w:val="center"/>
          </w:tcPr>
          <w:p>
            <w:pPr>
              <w:pStyle w:val="TableContents"/>
              <w:bidi w:val="0"/>
              <w:spacing w:before="0" w:after="283"/>
              <w:jc w:val="left"/>
              <w:rPr>
                <w:sz w:val="4"/>
                <w:szCs w:val="4"/>
              </w:rPr>
            </w:pPr>
            <w:r>
              <w:rPr>
                <w:sz w:val="4"/>
                <w:szCs w:val="4"/>
              </w:rPr>
            </w:r>
          </w:p>
        </w:tc>
      </w:tr>
      <w:tr>
        <w:trPr/>
        <w:tc>
          <w:tcPr>
            <w:tcW w:w="799" w:type="dxa"/>
            <w:tcBorders/>
          </w:tcPr>
          <w:p>
            <w:pPr>
              <w:pStyle w:val="TableContents"/>
              <w:bidi w:val="0"/>
              <w:spacing w:before="0" w:after="283"/>
              <w:jc w:val="left"/>
              <w:rPr/>
            </w:pPr>
            <w:r>
              <w:rPr/>
              <w:t>By:</w:t>
            </w:r>
          </w:p>
        </w:tc>
        <w:tc>
          <w:tcPr>
            <w:tcW w:w="148" w:type="dxa"/>
            <w:tcBorders/>
            <w:vAlign w:val="bottom"/>
          </w:tcPr>
          <w:p>
            <w:pPr>
              <w:pStyle w:val="TableContents"/>
              <w:bidi w:val="0"/>
              <w:spacing w:before="0" w:after="283"/>
              <w:jc w:val="left"/>
              <w:rPr/>
            </w:pPr>
            <w:r>
              <w:rPr/>
              <w:t> </w:t>
            </w:r>
          </w:p>
        </w:tc>
        <w:tc>
          <w:tcPr>
            <w:tcW w:w="3135" w:type="dxa"/>
            <w:tcBorders/>
          </w:tcPr>
          <w:p>
            <w:pPr>
              <w:pStyle w:val="TableContents"/>
              <w:pBdr>
                <w:bottom w:val="single" w:sz="2" w:space="1" w:color="000000"/>
              </w:pBdr>
              <w:bidi w:val="0"/>
              <w:spacing w:before="0" w:after="20"/>
              <w:jc w:val="left"/>
              <w:rPr/>
            </w:pPr>
            <w:r>
              <w:rPr/>
              <w:t> </w:t>
            </w:r>
          </w:p>
        </w:tc>
      </w:tr>
      <w:tr>
        <w:trPr/>
        <w:tc>
          <w:tcPr>
            <w:tcW w:w="799"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3135" w:type="dxa"/>
            <w:tcBorders/>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Agreement is hereby accepted and the terms and conditions thereof hereby agreed to by the undersigned. Electronic acceptance of this Agreement pursuant to the Company’s instructions to the Grantee (including through an online acceptance process) is acceptable. </w:t>
      </w:r>
    </w:p>
    <w:p>
      <w:pPr>
        <w:pStyle w:val="TextBody"/>
        <w:bidi w:val="0"/>
        <w:spacing w:before="240" w:after="0"/>
        <w:jc w:val="left"/>
        <w:rPr>
          <w:rFonts w:ascii="Times New Roman" w:hAnsi="Times New Roman"/>
          <w:sz w:val="20"/>
        </w:rPr>
      </w:pPr>
      <w:r>
        <w:rPr>
          <w:rFonts w:ascii="Times New Roman" w:hAnsi="Times New Roman"/>
          <w:sz w:val="20"/>
        </w:rPr>
        <w:t xml:space="preserve">Dated: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Grantee’s Signature</w:t>
            </w:r>
          </w:p>
        </w:tc>
      </w:tr>
      <w:tr>
        <w:trPr>
          <w:trHeight w:val="12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Grantee’s name and address:</w:t>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pBdr>
                <w:bottom w:val="single" w:sz="2" w:space="1" w:color="000000"/>
              </w:pBdr>
              <w:bidi w:val="0"/>
              <w:spacing w:before="0" w:after="20"/>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NON-QUALIFIED STOCK OPTION AGREEMENT </w:t>
      </w:r>
    </w:p>
    <w:p>
      <w:pPr>
        <w:pStyle w:val="TextBody"/>
        <w:bidi w:val="0"/>
        <w:spacing w:before="0" w:after="0"/>
        <w:jc w:val="center"/>
        <w:rPr>
          <w:rFonts w:ascii="Times New Roman" w:hAnsi="Times New Roman"/>
          <w:b/>
          <w:sz w:val="20"/>
        </w:rPr>
      </w:pPr>
      <w:r>
        <w:rPr>
          <w:rFonts w:ascii="Times New Roman" w:hAnsi="Times New Roman"/>
          <w:b/>
          <w:sz w:val="20"/>
        </w:rPr>
        <w:t xml:space="preserve">FOR NON-EMPLOYEE DIRECTORS </w:t>
      </w:r>
    </w:p>
    <w:p>
      <w:pPr>
        <w:pStyle w:val="TextBody"/>
        <w:bidi w:val="0"/>
        <w:spacing w:before="0" w:after="0"/>
        <w:jc w:val="center"/>
        <w:rPr>
          <w:rFonts w:ascii="Times New Roman" w:hAnsi="Times New Roman"/>
          <w:b/>
          <w:sz w:val="20"/>
        </w:rPr>
      </w:pPr>
      <w:r>
        <w:rPr>
          <w:rFonts w:ascii="Times New Roman" w:hAnsi="Times New Roman"/>
          <w:b/>
          <w:sz w:val="20"/>
        </w:rPr>
        <w:t xml:space="preserve">UNDER DAMORA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2020 EQUITY INCENTIVE PLAN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90"/>
        <w:gridCol w:w="120"/>
        <w:gridCol w:w="2626"/>
        <w:gridCol w:w="120"/>
        <w:gridCol w:w="4449"/>
      </w:tblGrid>
      <w:tr>
        <w:trPr/>
        <w:tc>
          <w:tcPr>
            <w:tcW w:w="289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449" w:type="dxa"/>
            <w:tcBorders/>
            <w:vAlign w:val="center"/>
          </w:tcPr>
          <w:p>
            <w:pPr>
              <w:pStyle w:val="TableContents"/>
              <w:bidi w:val="0"/>
              <w:spacing w:before="0" w:after="283"/>
              <w:jc w:val="left"/>
              <w:rPr>
                <w:sz w:val="4"/>
                <w:szCs w:val="4"/>
              </w:rPr>
            </w:pPr>
            <w:r>
              <w:rPr>
                <w:sz w:val="4"/>
                <w:szCs w:val="4"/>
              </w:rPr>
            </w:r>
          </w:p>
        </w:tc>
      </w:tr>
      <w:tr>
        <w:trPr/>
        <w:tc>
          <w:tcPr>
            <w:tcW w:w="2890" w:type="dxa"/>
            <w:tcBorders/>
          </w:tcPr>
          <w:p>
            <w:pPr>
              <w:pStyle w:val="TableContents"/>
              <w:bidi w:val="0"/>
              <w:spacing w:before="0" w:after="283"/>
              <w:jc w:val="left"/>
              <w:rPr/>
            </w:pPr>
            <w:r>
              <w:rPr/>
              <w:t>Name of Grantee:</w:t>
            </w:r>
          </w:p>
        </w:tc>
        <w:tc>
          <w:tcPr>
            <w:tcW w:w="120" w:type="dxa"/>
            <w:tcBorders/>
            <w:vAlign w:val="bottom"/>
          </w:tcPr>
          <w:p>
            <w:pPr>
              <w:pStyle w:val="TableContents"/>
              <w:bidi w:val="0"/>
              <w:spacing w:before="0" w:after="283"/>
              <w:jc w:val="left"/>
              <w:rPr/>
            </w:pPr>
            <w:r>
              <w:rPr/>
              <w:t>  </w:t>
            </w:r>
          </w:p>
        </w:tc>
        <w:tc>
          <w:tcPr>
            <w:tcW w:w="262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449" w:type="dxa"/>
            <w:tcBorders/>
          </w:tcPr>
          <w:p>
            <w:pPr>
              <w:pStyle w:val="TableContents"/>
              <w:bidi w:val="0"/>
              <w:spacing w:before="0" w:after="283"/>
              <w:jc w:val="left"/>
              <w:rPr>
                <w:sz w:val="4"/>
                <w:szCs w:val="4"/>
              </w:rPr>
            </w:pPr>
            <w:r>
              <w:rPr>
                <w:sz w:val="4"/>
                <w:szCs w:val="4"/>
              </w:rPr>
            </w:r>
          </w:p>
        </w:tc>
      </w:tr>
      <w:tr>
        <w:trPr>
          <w:trHeight w:val="120" w:hRule="atLeast"/>
        </w:trPr>
        <w:tc>
          <w:tcPr>
            <w:tcW w:w="2890" w:type="dxa"/>
            <w:tcBorders/>
            <w:vAlign w:val="center"/>
          </w:tcPr>
          <w:p>
            <w:pPr>
              <w:pStyle w:val="TableContents"/>
              <w:bidi w:val="0"/>
              <w:spacing w:before="0" w:after="283"/>
              <w:jc w:val="left"/>
              <w:rPr>
                <w:sz w:val="4"/>
                <w:szCs w:val="4"/>
              </w:rPr>
            </w:pPr>
            <w:r>
              <w:rPr>
                <w:sz w:val="4"/>
                <w:szCs w:val="4"/>
              </w:rPr>
            </w:r>
          </w:p>
        </w:tc>
        <w:tc>
          <w:tcPr>
            <w:tcW w:w="2746" w:type="dxa"/>
            <w:gridSpan w:val="2"/>
            <w:tcBorders/>
            <w:vAlign w:val="center"/>
          </w:tcPr>
          <w:p>
            <w:pPr>
              <w:pStyle w:val="TableContents"/>
              <w:bidi w:val="0"/>
              <w:spacing w:before="0" w:after="283"/>
              <w:jc w:val="left"/>
              <w:rPr>
                <w:sz w:val="4"/>
                <w:szCs w:val="4"/>
              </w:rPr>
            </w:pPr>
            <w:r>
              <w:rPr>
                <w:sz w:val="4"/>
                <w:szCs w:val="4"/>
              </w:rPr>
            </w:r>
          </w:p>
        </w:tc>
        <w:tc>
          <w:tcPr>
            <w:tcW w:w="4569" w:type="dxa"/>
            <w:gridSpan w:val="2"/>
            <w:tcBorders/>
            <w:vAlign w:val="center"/>
          </w:tcPr>
          <w:p>
            <w:pPr>
              <w:pStyle w:val="TableContents"/>
              <w:bidi w:val="0"/>
              <w:spacing w:before="0" w:after="283"/>
              <w:jc w:val="left"/>
              <w:rPr>
                <w:sz w:val="4"/>
                <w:szCs w:val="4"/>
              </w:rPr>
            </w:pPr>
            <w:r>
              <w:rPr>
                <w:sz w:val="4"/>
                <w:szCs w:val="4"/>
              </w:rPr>
            </w:r>
          </w:p>
        </w:tc>
      </w:tr>
      <w:tr>
        <w:trPr/>
        <w:tc>
          <w:tcPr>
            <w:tcW w:w="2890" w:type="dxa"/>
            <w:tcBorders/>
          </w:tcPr>
          <w:p>
            <w:pPr>
              <w:pStyle w:val="TableContents"/>
              <w:bidi w:val="0"/>
              <w:spacing w:before="0" w:after="283"/>
              <w:jc w:val="left"/>
              <w:rPr/>
            </w:pPr>
            <w:r>
              <w:rPr/>
              <w:t>No. of Option Shares:</w:t>
            </w:r>
          </w:p>
        </w:tc>
        <w:tc>
          <w:tcPr>
            <w:tcW w:w="120" w:type="dxa"/>
            <w:tcBorders/>
            <w:vAlign w:val="bottom"/>
          </w:tcPr>
          <w:p>
            <w:pPr>
              <w:pStyle w:val="TableContents"/>
              <w:bidi w:val="0"/>
              <w:spacing w:before="0" w:after="283"/>
              <w:jc w:val="left"/>
              <w:rPr/>
            </w:pPr>
            <w:r>
              <w:rPr/>
              <w:t>  </w:t>
            </w:r>
          </w:p>
        </w:tc>
        <w:tc>
          <w:tcPr>
            <w:tcW w:w="262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449" w:type="dxa"/>
            <w:tcBorders/>
          </w:tcPr>
          <w:p>
            <w:pPr>
              <w:pStyle w:val="TableContents"/>
              <w:bidi w:val="0"/>
              <w:spacing w:before="0" w:after="283"/>
              <w:jc w:val="left"/>
              <w:rPr/>
            </w:pPr>
            <w:r>
              <w:rPr/>
              <w:t>(the “Option Shares”)</w:t>
            </w:r>
          </w:p>
        </w:tc>
      </w:tr>
      <w:tr>
        <w:trPr>
          <w:trHeight w:val="120" w:hRule="atLeast"/>
        </w:trPr>
        <w:tc>
          <w:tcPr>
            <w:tcW w:w="2890" w:type="dxa"/>
            <w:tcBorders/>
            <w:vAlign w:val="center"/>
          </w:tcPr>
          <w:p>
            <w:pPr>
              <w:pStyle w:val="TableContents"/>
              <w:bidi w:val="0"/>
              <w:spacing w:before="0" w:after="283"/>
              <w:jc w:val="left"/>
              <w:rPr>
                <w:sz w:val="4"/>
                <w:szCs w:val="4"/>
              </w:rPr>
            </w:pPr>
            <w:r>
              <w:rPr>
                <w:sz w:val="4"/>
                <w:szCs w:val="4"/>
              </w:rPr>
            </w:r>
          </w:p>
        </w:tc>
        <w:tc>
          <w:tcPr>
            <w:tcW w:w="2746" w:type="dxa"/>
            <w:gridSpan w:val="2"/>
            <w:tcBorders/>
            <w:vAlign w:val="center"/>
          </w:tcPr>
          <w:p>
            <w:pPr>
              <w:pStyle w:val="TableContents"/>
              <w:bidi w:val="0"/>
              <w:spacing w:before="0" w:after="283"/>
              <w:jc w:val="left"/>
              <w:rPr>
                <w:sz w:val="4"/>
                <w:szCs w:val="4"/>
              </w:rPr>
            </w:pPr>
            <w:r>
              <w:rPr>
                <w:sz w:val="4"/>
                <w:szCs w:val="4"/>
              </w:rPr>
            </w:r>
          </w:p>
        </w:tc>
        <w:tc>
          <w:tcPr>
            <w:tcW w:w="4569" w:type="dxa"/>
            <w:gridSpan w:val="2"/>
            <w:tcBorders/>
            <w:vAlign w:val="center"/>
          </w:tcPr>
          <w:p>
            <w:pPr>
              <w:pStyle w:val="TableContents"/>
              <w:bidi w:val="0"/>
              <w:spacing w:before="0" w:after="283"/>
              <w:jc w:val="left"/>
              <w:rPr>
                <w:sz w:val="4"/>
                <w:szCs w:val="4"/>
              </w:rPr>
            </w:pPr>
            <w:r>
              <w:rPr>
                <w:sz w:val="4"/>
                <w:szCs w:val="4"/>
              </w:rPr>
            </w:r>
          </w:p>
        </w:tc>
      </w:tr>
      <w:tr>
        <w:trPr/>
        <w:tc>
          <w:tcPr>
            <w:tcW w:w="2890" w:type="dxa"/>
            <w:tcBorders/>
          </w:tcPr>
          <w:p>
            <w:pPr>
              <w:pStyle w:val="TableContents"/>
              <w:bidi w:val="0"/>
              <w:spacing w:before="0" w:after="283"/>
              <w:jc w:val="left"/>
              <w:rPr/>
            </w:pPr>
            <w:r>
              <w:rPr/>
              <w:t>Option Exercise Price per Share:</w:t>
            </w:r>
          </w:p>
        </w:tc>
        <w:tc>
          <w:tcPr>
            <w:tcW w:w="120" w:type="dxa"/>
            <w:tcBorders/>
            <w:vAlign w:val="bottom"/>
          </w:tcPr>
          <w:p>
            <w:pPr>
              <w:pStyle w:val="TableContents"/>
              <w:bidi w:val="0"/>
              <w:spacing w:before="0" w:after="283"/>
              <w:jc w:val="left"/>
              <w:rPr/>
            </w:pPr>
            <w:r>
              <w:rPr/>
              <w:t>  </w:t>
            </w:r>
          </w:p>
        </w:tc>
        <w:tc>
          <w:tcPr>
            <w:tcW w:w="2626"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4449" w:type="dxa"/>
            <w:tcBorders/>
          </w:tcPr>
          <w:p>
            <w:pPr>
              <w:pStyle w:val="TableContents"/>
              <w:bidi w:val="0"/>
              <w:spacing w:before="0" w:after="283"/>
              <w:jc w:val="left"/>
              <w:rPr/>
            </w:pPr>
            <w:r>
              <w:rPr/>
              <w:t>(the “Exercise Price”)</w:t>
            </w:r>
          </w:p>
        </w:tc>
      </w:tr>
      <w:tr>
        <w:trPr>
          <w:trHeight w:val="120" w:hRule="atLeast"/>
        </w:trPr>
        <w:tc>
          <w:tcPr>
            <w:tcW w:w="2890" w:type="dxa"/>
            <w:tcBorders/>
            <w:vAlign w:val="center"/>
          </w:tcPr>
          <w:p>
            <w:pPr>
              <w:pStyle w:val="TableContents"/>
              <w:bidi w:val="0"/>
              <w:spacing w:before="0" w:after="283"/>
              <w:jc w:val="left"/>
              <w:rPr>
                <w:sz w:val="4"/>
                <w:szCs w:val="4"/>
              </w:rPr>
            </w:pPr>
            <w:r>
              <w:rPr>
                <w:sz w:val="4"/>
                <w:szCs w:val="4"/>
              </w:rPr>
            </w:r>
          </w:p>
        </w:tc>
        <w:tc>
          <w:tcPr>
            <w:tcW w:w="2746" w:type="dxa"/>
            <w:gridSpan w:val="2"/>
            <w:tcBorders/>
            <w:vAlign w:val="center"/>
          </w:tcPr>
          <w:p>
            <w:pPr>
              <w:pStyle w:val="TableContents"/>
              <w:bidi w:val="0"/>
              <w:spacing w:before="0" w:after="283"/>
              <w:jc w:val="left"/>
              <w:rPr>
                <w:sz w:val="4"/>
                <w:szCs w:val="4"/>
              </w:rPr>
            </w:pPr>
            <w:r>
              <w:rPr>
                <w:sz w:val="4"/>
                <w:szCs w:val="4"/>
              </w:rPr>
            </w:r>
          </w:p>
        </w:tc>
        <w:tc>
          <w:tcPr>
            <w:tcW w:w="4569" w:type="dxa"/>
            <w:gridSpan w:val="2"/>
            <w:tcBorders/>
            <w:vAlign w:val="center"/>
          </w:tcPr>
          <w:p>
            <w:pPr>
              <w:pStyle w:val="TableContents"/>
              <w:bidi w:val="0"/>
              <w:spacing w:before="0" w:after="283"/>
              <w:jc w:val="left"/>
              <w:rPr>
                <w:sz w:val="4"/>
                <w:szCs w:val="4"/>
              </w:rPr>
            </w:pPr>
            <w:r>
              <w:rPr>
                <w:sz w:val="4"/>
                <w:szCs w:val="4"/>
              </w:rPr>
            </w:r>
          </w:p>
        </w:tc>
      </w:tr>
      <w:tr>
        <w:trPr/>
        <w:tc>
          <w:tcPr>
            <w:tcW w:w="289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626" w:type="dxa"/>
            <w:tcBorders/>
          </w:tcPr>
          <w:p>
            <w:pPr>
              <w:pStyle w:val="TableContents"/>
              <w:bidi w:val="0"/>
              <w:spacing w:before="0" w:after="283"/>
              <w:jc w:val="left"/>
              <w:rPr>
                <w:b/>
              </w:rPr>
            </w:pPr>
            <w:r>
              <w:rPr>
                <w:b/>
              </w:rPr>
              <w:t>[FMV on Grant Date]</w:t>
            </w:r>
          </w:p>
        </w:tc>
        <w:tc>
          <w:tcPr>
            <w:tcW w:w="120" w:type="dxa"/>
            <w:tcBorders/>
            <w:vAlign w:val="bottom"/>
          </w:tcPr>
          <w:p>
            <w:pPr>
              <w:pStyle w:val="TableContents"/>
              <w:bidi w:val="0"/>
              <w:spacing w:before="0" w:after="283"/>
              <w:jc w:val="left"/>
              <w:rPr/>
            </w:pPr>
            <w:r>
              <w:rPr/>
              <w:t>  </w:t>
            </w:r>
          </w:p>
        </w:tc>
        <w:tc>
          <w:tcPr>
            <w:tcW w:w="4449" w:type="dxa"/>
            <w:tcBorders/>
          </w:tcPr>
          <w:p>
            <w:pPr>
              <w:pStyle w:val="TableContents"/>
              <w:bidi w:val="0"/>
              <w:spacing w:before="0" w:after="283"/>
              <w:jc w:val="left"/>
              <w:rPr>
                <w:sz w:val="4"/>
                <w:szCs w:val="4"/>
              </w:rPr>
            </w:pPr>
            <w:r>
              <w:rPr>
                <w:sz w:val="4"/>
                <w:szCs w:val="4"/>
              </w:rPr>
            </w:r>
          </w:p>
        </w:tc>
      </w:tr>
      <w:tr>
        <w:trPr>
          <w:trHeight w:val="120" w:hRule="atLeast"/>
        </w:trPr>
        <w:tc>
          <w:tcPr>
            <w:tcW w:w="2890" w:type="dxa"/>
            <w:tcBorders/>
            <w:vAlign w:val="center"/>
          </w:tcPr>
          <w:p>
            <w:pPr>
              <w:pStyle w:val="TableContents"/>
              <w:bidi w:val="0"/>
              <w:spacing w:before="0" w:after="283"/>
              <w:jc w:val="left"/>
              <w:rPr>
                <w:sz w:val="4"/>
                <w:szCs w:val="4"/>
              </w:rPr>
            </w:pPr>
            <w:r>
              <w:rPr>
                <w:sz w:val="4"/>
                <w:szCs w:val="4"/>
              </w:rPr>
            </w:r>
          </w:p>
        </w:tc>
        <w:tc>
          <w:tcPr>
            <w:tcW w:w="2746" w:type="dxa"/>
            <w:gridSpan w:val="2"/>
            <w:tcBorders/>
            <w:vAlign w:val="center"/>
          </w:tcPr>
          <w:p>
            <w:pPr>
              <w:pStyle w:val="TableContents"/>
              <w:bidi w:val="0"/>
              <w:spacing w:before="0" w:after="283"/>
              <w:jc w:val="left"/>
              <w:rPr>
                <w:sz w:val="4"/>
                <w:szCs w:val="4"/>
              </w:rPr>
            </w:pPr>
            <w:r>
              <w:rPr>
                <w:sz w:val="4"/>
                <w:szCs w:val="4"/>
              </w:rPr>
            </w:r>
          </w:p>
        </w:tc>
        <w:tc>
          <w:tcPr>
            <w:tcW w:w="4569" w:type="dxa"/>
            <w:gridSpan w:val="2"/>
            <w:tcBorders/>
            <w:vAlign w:val="center"/>
          </w:tcPr>
          <w:p>
            <w:pPr>
              <w:pStyle w:val="TableContents"/>
              <w:bidi w:val="0"/>
              <w:spacing w:before="0" w:after="283"/>
              <w:jc w:val="left"/>
              <w:rPr>
                <w:sz w:val="4"/>
                <w:szCs w:val="4"/>
              </w:rPr>
            </w:pPr>
            <w:r>
              <w:rPr>
                <w:sz w:val="4"/>
                <w:szCs w:val="4"/>
              </w:rPr>
            </w:r>
          </w:p>
        </w:tc>
      </w:tr>
      <w:tr>
        <w:trPr/>
        <w:tc>
          <w:tcPr>
            <w:tcW w:w="2890" w:type="dxa"/>
            <w:tcBorders/>
          </w:tcPr>
          <w:p>
            <w:pPr>
              <w:pStyle w:val="TableContents"/>
              <w:bidi w:val="0"/>
              <w:spacing w:before="0" w:after="283"/>
              <w:jc w:val="left"/>
              <w:rPr/>
            </w:pPr>
            <w:r>
              <w:rPr/>
              <w:t>Grant Date:</w:t>
            </w:r>
          </w:p>
        </w:tc>
        <w:tc>
          <w:tcPr>
            <w:tcW w:w="120" w:type="dxa"/>
            <w:tcBorders/>
            <w:vAlign w:val="bottom"/>
          </w:tcPr>
          <w:p>
            <w:pPr>
              <w:pStyle w:val="TableContents"/>
              <w:bidi w:val="0"/>
              <w:spacing w:before="0" w:after="283"/>
              <w:jc w:val="left"/>
              <w:rPr/>
            </w:pPr>
            <w:r>
              <w:rPr/>
              <w:t>  </w:t>
            </w:r>
          </w:p>
        </w:tc>
        <w:tc>
          <w:tcPr>
            <w:tcW w:w="262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449" w:type="dxa"/>
            <w:tcBorders/>
          </w:tcPr>
          <w:p>
            <w:pPr>
              <w:pStyle w:val="TableContents"/>
              <w:bidi w:val="0"/>
              <w:spacing w:before="0" w:after="283"/>
              <w:jc w:val="left"/>
              <w:rPr>
                <w:sz w:val="4"/>
                <w:szCs w:val="4"/>
              </w:rPr>
            </w:pPr>
            <w:r>
              <w:rPr>
                <w:sz w:val="4"/>
                <w:szCs w:val="4"/>
              </w:rPr>
            </w:r>
          </w:p>
        </w:tc>
      </w:tr>
      <w:tr>
        <w:trPr>
          <w:trHeight w:val="120" w:hRule="atLeast"/>
        </w:trPr>
        <w:tc>
          <w:tcPr>
            <w:tcW w:w="2890" w:type="dxa"/>
            <w:tcBorders/>
            <w:vAlign w:val="center"/>
          </w:tcPr>
          <w:p>
            <w:pPr>
              <w:pStyle w:val="TableContents"/>
              <w:bidi w:val="0"/>
              <w:spacing w:before="0" w:after="283"/>
              <w:jc w:val="left"/>
              <w:rPr>
                <w:sz w:val="4"/>
                <w:szCs w:val="4"/>
              </w:rPr>
            </w:pPr>
            <w:r>
              <w:rPr>
                <w:sz w:val="4"/>
                <w:szCs w:val="4"/>
              </w:rPr>
            </w:r>
          </w:p>
        </w:tc>
        <w:tc>
          <w:tcPr>
            <w:tcW w:w="2746" w:type="dxa"/>
            <w:gridSpan w:val="2"/>
            <w:tcBorders/>
            <w:vAlign w:val="center"/>
          </w:tcPr>
          <w:p>
            <w:pPr>
              <w:pStyle w:val="TableContents"/>
              <w:bidi w:val="0"/>
              <w:spacing w:before="0" w:after="283"/>
              <w:jc w:val="left"/>
              <w:rPr>
                <w:sz w:val="4"/>
                <w:szCs w:val="4"/>
              </w:rPr>
            </w:pPr>
            <w:r>
              <w:rPr>
                <w:sz w:val="4"/>
                <w:szCs w:val="4"/>
              </w:rPr>
            </w:r>
          </w:p>
        </w:tc>
        <w:tc>
          <w:tcPr>
            <w:tcW w:w="4569" w:type="dxa"/>
            <w:gridSpan w:val="2"/>
            <w:tcBorders/>
            <w:vAlign w:val="center"/>
          </w:tcPr>
          <w:p>
            <w:pPr>
              <w:pStyle w:val="TableContents"/>
              <w:bidi w:val="0"/>
              <w:spacing w:before="0" w:after="283"/>
              <w:jc w:val="left"/>
              <w:rPr>
                <w:sz w:val="4"/>
                <w:szCs w:val="4"/>
              </w:rPr>
            </w:pPr>
            <w:r>
              <w:rPr>
                <w:sz w:val="4"/>
                <w:szCs w:val="4"/>
              </w:rPr>
            </w:r>
          </w:p>
        </w:tc>
      </w:tr>
      <w:tr>
        <w:trPr/>
        <w:tc>
          <w:tcPr>
            <w:tcW w:w="2890" w:type="dxa"/>
            <w:tcBorders/>
          </w:tcPr>
          <w:p>
            <w:pPr>
              <w:pStyle w:val="TableContents"/>
              <w:bidi w:val="0"/>
              <w:spacing w:before="0" w:after="283"/>
              <w:jc w:val="left"/>
              <w:rPr/>
            </w:pPr>
            <w:r>
              <w:rPr/>
              <w:t>Expiration Date:</w:t>
            </w:r>
          </w:p>
        </w:tc>
        <w:tc>
          <w:tcPr>
            <w:tcW w:w="120" w:type="dxa"/>
            <w:tcBorders/>
            <w:vAlign w:val="bottom"/>
          </w:tcPr>
          <w:p>
            <w:pPr>
              <w:pStyle w:val="TableContents"/>
              <w:bidi w:val="0"/>
              <w:spacing w:before="0" w:after="283"/>
              <w:jc w:val="left"/>
              <w:rPr/>
            </w:pPr>
            <w:r>
              <w:rPr/>
              <w:t>  </w:t>
            </w:r>
          </w:p>
        </w:tc>
        <w:tc>
          <w:tcPr>
            <w:tcW w:w="262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449" w:type="dxa"/>
            <w:tcBorders/>
          </w:tcPr>
          <w:p>
            <w:pPr>
              <w:pStyle w:val="TableContents"/>
              <w:bidi w:val="0"/>
              <w:spacing w:before="0" w:after="283"/>
              <w:jc w:val="left"/>
              <w:rPr/>
            </w:pPr>
            <w:r>
              <w:rPr/>
              <w:t>(the “Expiration Date”)</w:t>
            </w:r>
          </w:p>
        </w:tc>
      </w:tr>
      <w:tr>
        <w:trPr>
          <w:trHeight w:val="120" w:hRule="atLeast"/>
        </w:trPr>
        <w:tc>
          <w:tcPr>
            <w:tcW w:w="2890" w:type="dxa"/>
            <w:tcBorders/>
            <w:vAlign w:val="center"/>
          </w:tcPr>
          <w:p>
            <w:pPr>
              <w:pStyle w:val="TableContents"/>
              <w:bidi w:val="0"/>
              <w:spacing w:before="0" w:after="283"/>
              <w:jc w:val="left"/>
              <w:rPr>
                <w:sz w:val="4"/>
                <w:szCs w:val="4"/>
              </w:rPr>
            </w:pPr>
            <w:r>
              <w:rPr>
                <w:sz w:val="4"/>
                <w:szCs w:val="4"/>
              </w:rPr>
            </w:r>
          </w:p>
        </w:tc>
        <w:tc>
          <w:tcPr>
            <w:tcW w:w="2746" w:type="dxa"/>
            <w:gridSpan w:val="2"/>
            <w:tcBorders/>
            <w:vAlign w:val="center"/>
          </w:tcPr>
          <w:p>
            <w:pPr>
              <w:pStyle w:val="TableContents"/>
              <w:bidi w:val="0"/>
              <w:spacing w:before="0" w:after="283"/>
              <w:jc w:val="left"/>
              <w:rPr>
                <w:sz w:val="4"/>
                <w:szCs w:val="4"/>
              </w:rPr>
            </w:pPr>
            <w:r>
              <w:rPr>
                <w:sz w:val="4"/>
                <w:szCs w:val="4"/>
              </w:rPr>
            </w:r>
          </w:p>
        </w:tc>
        <w:tc>
          <w:tcPr>
            <w:tcW w:w="4569" w:type="dxa"/>
            <w:gridSpan w:val="2"/>
            <w:tcBorders/>
            <w:vAlign w:val="center"/>
          </w:tcPr>
          <w:p>
            <w:pPr>
              <w:pStyle w:val="TableContents"/>
              <w:bidi w:val="0"/>
              <w:spacing w:before="0" w:after="283"/>
              <w:jc w:val="left"/>
              <w:rPr>
                <w:sz w:val="4"/>
                <w:szCs w:val="4"/>
              </w:rPr>
            </w:pPr>
            <w:r>
              <w:rPr>
                <w:sz w:val="4"/>
                <w:szCs w:val="4"/>
              </w:rPr>
            </w:r>
          </w:p>
        </w:tc>
      </w:tr>
      <w:tr>
        <w:trPr/>
        <w:tc>
          <w:tcPr>
            <w:tcW w:w="289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626" w:type="dxa"/>
            <w:tcBorders/>
          </w:tcPr>
          <w:p>
            <w:pPr>
              <w:pStyle w:val="TableContents"/>
              <w:bidi w:val="0"/>
              <w:spacing w:before="0" w:after="283"/>
              <w:jc w:val="left"/>
              <w:rPr>
                <w:b/>
              </w:rPr>
            </w:pPr>
            <w:r>
              <w:rPr>
                <w:b/>
              </w:rPr>
              <w:t>[No more than 10 years]</w:t>
            </w:r>
          </w:p>
        </w:tc>
        <w:tc>
          <w:tcPr>
            <w:tcW w:w="120" w:type="dxa"/>
            <w:tcBorders/>
            <w:vAlign w:val="bottom"/>
          </w:tcPr>
          <w:p>
            <w:pPr>
              <w:pStyle w:val="TableContents"/>
              <w:bidi w:val="0"/>
              <w:spacing w:before="0" w:after="283"/>
              <w:jc w:val="left"/>
              <w:rPr/>
            </w:pPr>
            <w:r>
              <w:rPr/>
              <w:t>  </w:t>
            </w:r>
          </w:p>
        </w:tc>
        <w:tc>
          <w:tcPr>
            <w:tcW w:w="4449"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Damora Therapeutics, Inc. 2020 Equity Incentive Plan as amended through the date hereof (the “Plan”), Damora Therapeutics, Inc. (the “Company”) hereby grants to the Grantee named above, who is a Director of the Company but is not an employee of the Company, an option (the “Stock Option”) to purchase on or prior to the Expiration Date specified above all or part of the number of Ordinary Shares, par value $0.00001 per share (the “Shares”), of the Company specified above at the Option Exercise Price per Option Share specified above subject to the terms and conditions set forth herein and in the Plan. This Stock Option is not intended to be an “incentive stock option” under Section 422 of the Internal Revenue Code of 1986, as amended.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Exercisability Schedule</w:t>
      </w:r>
      <w:r>
        <w:rPr>
          <w:rFonts w:ascii="Times New Roman" w:hAnsi="Times New Roman"/>
          <w:sz w:val="20"/>
        </w:rPr>
        <w:t xml:space="preserve">. No portion of this Stock Option may be exercised until such portion shall have become exercisable. Except as set forth below, and subject to the discretion of the Administrator (as defined in Section 1 of the Plan) to accelerate the exercisability schedule hereunder, this Stock Option shall be exercisable with respect to the following number of Option Shares on the dates indicated so long as the Grantee maintains a Service Relationship with the Board, the Company or a Subsidiary on such dates: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097"/>
        <w:gridCol w:w="961"/>
        <w:gridCol w:w="910"/>
        <w:gridCol w:w="910"/>
        <w:gridCol w:w="61"/>
      </w:tblGrid>
      <w:tr>
        <w:trPr/>
        <w:tc>
          <w:tcPr>
            <w:tcW w:w="4097" w:type="dxa"/>
            <w:tcBorders/>
            <w:vAlign w:val="center"/>
          </w:tcPr>
          <w:p>
            <w:pPr>
              <w:pStyle w:val="TableContents"/>
              <w:bidi w:val="0"/>
              <w:spacing w:before="0" w:after="283"/>
              <w:jc w:val="left"/>
              <w:rPr>
                <w:sz w:val="4"/>
                <w:szCs w:val="4"/>
              </w:rPr>
            </w:pPr>
            <w:r>
              <w:rPr>
                <w:sz w:val="4"/>
                <w:szCs w:val="4"/>
              </w:rPr>
            </w:r>
          </w:p>
        </w:tc>
        <w:tc>
          <w:tcPr>
            <w:tcW w:w="961" w:type="dxa"/>
            <w:tcBorders/>
            <w:vAlign w:val="bottom"/>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c>
          <w:tcPr>
            <w:tcW w:w="4097"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Incremental Number of</w:t>
              <w:br/>
              <w:t>Option Shares Exercisable</w:t>
            </w:r>
          </w:p>
        </w:tc>
        <w:tc>
          <w:tcPr>
            <w:tcW w:w="961" w:type="dxa"/>
            <w:tcBorders/>
            <w:vAlign w:val="bottom"/>
          </w:tcPr>
          <w:p>
            <w:pPr>
              <w:pStyle w:val="TableContents"/>
              <w:bidi w:val="0"/>
              <w:spacing w:before="0" w:after="283"/>
              <w:jc w:val="left"/>
              <w:rPr/>
            </w:pPr>
            <w:r>
              <w:rPr/>
              <w:t>  </w:t>
            </w:r>
          </w:p>
        </w:tc>
        <w:tc>
          <w:tcPr>
            <w:tcW w:w="1820" w:type="dxa"/>
            <w:gridSpan w:val="2"/>
            <w:tcBorders>
              <w:bottom w:val="single" w:sz="8" w:space="0" w:color="000000"/>
            </w:tcBorders>
            <w:tcMar>
              <w:bottom w:w="28" w:type="dxa"/>
            </w:tcMar>
            <w:vAlign w:val="bottom"/>
          </w:tcPr>
          <w:p>
            <w:pPr>
              <w:pStyle w:val="TableContents"/>
              <w:bidi w:val="0"/>
              <w:spacing w:before="0" w:after="283"/>
              <w:jc w:val="center"/>
              <w:rPr/>
            </w:pPr>
            <w:r>
              <w:rPr/>
              <w:t>Exercisability Date</w:t>
            </w:r>
          </w:p>
        </w:tc>
        <w:tc>
          <w:tcPr>
            <w:tcW w:w="61" w:type="dxa"/>
            <w:tcBorders/>
            <w:vAlign w:val="bottom"/>
          </w:tcPr>
          <w:p>
            <w:pPr>
              <w:pStyle w:val="TableContents"/>
              <w:bidi w:val="0"/>
              <w:spacing w:before="0" w:after="283"/>
              <w:jc w:val="left"/>
              <w:rPr/>
            </w:pPr>
            <w:r>
              <w:rPr/>
              <w:t> </w:t>
            </w:r>
          </w:p>
        </w:tc>
      </w:tr>
      <w:tr>
        <w:trPr/>
        <w:tc>
          <w:tcPr>
            <w:tcW w:w="40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_____________ (___%)</w:t>
            </w:r>
          </w:p>
        </w:tc>
        <w:tc>
          <w:tcPr>
            <w:tcW w:w="961"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bidi w:val="0"/>
              <w:spacing w:before="0" w:after="283"/>
              <w:jc w:val="left"/>
              <w:rPr>
                <w:sz w:val="4"/>
                <w:szCs w:val="4"/>
              </w:rPr>
            </w:pPr>
            <w:r>
              <w:rPr>
                <w:sz w:val="4"/>
                <w:szCs w:val="4"/>
              </w:rPr>
            </w:r>
          </w:p>
        </w:tc>
        <w:tc>
          <w:tcPr>
            <w:tcW w:w="910"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r>
        <w:trPr/>
        <w:tc>
          <w:tcPr>
            <w:tcW w:w="4097" w:type="dxa"/>
            <w:tcBorders/>
          </w:tcPr>
          <w:p>
            <w:pPr>
              <w:pStyle w:val="TableContents"/>
              <w:bidi w:val="0"/>
              <w:spacing w:before="0" w:after="0"/>
              <w:jc w:val="left"/>
              <w:rPr>
                <w:rFonts w:ascii="Times New Roman" w:hAnsi="Times New Roman"/>
                <w:sz w:val="20"/>
              </w:rPr>
            </w:pPr>
            <w:r>
              <w:rPr>
                <w:rFonts w:ascii="Times New Roman" w:hAnsi="Times New Roman"/>
                <w:sz w:val="20"/>
              </w:rPr>
              <w:t>_____________ (___%)</w:t>
            </w:r>
          </w:p>
        </w:tc>
        <w:tc>
          <w:tcPr>
            <w:tcW w:w="961" w:type="dxa"/>
            <w:tcBorders/>
            <w:vAlign w:val="bottom"/>
          </w:tcPr>
          <w:p>
            <w:pPr>
              <w:pStyle w:val="TableContents"/>
              <w:bidi w:val="0"/>
              <w:spacing w:before="0" w:after="283"/>
              <w:jc w:val="left"/>
              <w:rPr/>
            </w:pPr>
            <w:r>
              <w:rPr/>
              <w:t>  </w:t>
            </w:r>
          </w:p>
        </w:tc>
        <w:tc>
          <w:tcPr>
            <w:tcW w:w="910" w:type="dxa"/>
            <w:tcBorders/>
            <w:vAlign w:val="bottom"/>
          </w:tcPr>
          <w:p>
            <w:pPr>
              <w:pStyle w:val="TableContents"/>
              <w:bidi w:val="0"/>
              <w:spacing w:before="0" w:after="283"/>
              <w:jc w:val="left"/>
              <w:rPr>
                <w:sz w:val="4"/>
                <w:szCs w:val="4"/>
              </w:rPr>
            </w:pPr>
            <w:r>
              <w:rPr>
                <w:sz w:val="4"/>
                <w:szCs w:val="4"/>
              </w:rPr>
            </w:r>
          </w:p>
        </w:tc>
        <w:tc>
          <w:tcPr>
            <w:tcW w:w="910"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r>
      <w:tr>
        <w:trPr/>
        <w:tc>
          <w:tcPr>
            <w:tcW w:w="40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_____________ (___%)</w:t>
            </w:r>
          </w:p>
        </w:tc>
        <w:tc>
          <w:tcPr>
            <w:tcW w:w="961"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bidi w:val="0"/>
              <w:spacing w:before="0" w:after="283"/>
              <w:jc w:val="left"/>
              <w:rPr>
                <w:sz w:val="4"/>
                <w:szCs w:val="4"/>
              </w:rPr>
            </w:pPr>
            <w:r>
              <w:rPr>
                <w:sz w:val="4"/>
                <w:szCs w:val="4"/>
              </w:rPr>
            </w:r>
          </w:p>
        </w:tc>
        <w:tc>
          <w:tcPr>
            <w:tcW w:w="910"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r>
        <w:trPr/>
        <w:tc>
          <w:tcPr>
            <w:tcW w:w="4097" w:type="dxa"/>
            <w:tcBorders/>
          </w:tcPr>
          <w:p>
            <w:pPr>
              <w:pStyle w:val="TableContents"/>
              <w:bidi w:val="0"/>
              <w:spacing w:before="0" w:after="0"/>
              <w:jc w:val="left"/>
              <w:rPr>
                <w:rFonts w:ascii="Times New Roman" w:hAnsi="Times New Roman"/>
                <w:sz w:val="20"/>
              </w:rPr>
            </w:pPr>
            <w:r>
              <w:rPr>
                <w:rFonts w:ascii="Times New Roman" w:hAnsi="Times New Roman"/>
                <w:sz w:val="20"/>
              </w:rPr>
              <w:t>_____________ (___%)</w:t>
            </w:r>
          </w:p>
        </w:tc>
        <w:tc>
          <w:tcPr>
            <w:tcW w:w="961" w:type="dxa"/>
            <w:tcBorders/>
            <w:vAlign w:val="bottom"/>
          </w:tcPr>
          <w:p>
            <w:pPr>
              <w:pStyle w:val="TableContents"/>
              <w:bidi w:val="0"/>
              <w:spacing w:before="0" w:after="283"/>
              <w:jc w:val="left"/>
              <w:rPr/>
            </w:pPr>
            <w:r>
              <w:rPr/>
              <w:t>  </w:t>
            </w:r>
          </w:p>
        </w:tc>
        <w:tc>
          <w:tcPr>
            <w:tcW w:w="910" w:type="dxa"/>
            <w:tcBorders/>
            <w:vAlign w:val="bottom"/>
          </w:tcPr>
          <w:p>
            <w:pPr>
              <w:pStyle w:val="TableContents"/>
              <w:bidi w:val="0"/>
              <w:spacing w:before="0" w:after="283"/>
              <w:jc w:val="left"/>
              <w:rPr>
                <w:sz w:val="4"/>
                <w:szCs w:val="4"/>
              </w:rPr>
            </w:pPr>
            <w:r>
              <w:rPr>
                <w:sz w:val="4"/>
                <w:szCs w:val="4"/>
              </w:rPr>
            </w:r>
          </w:p>
        </w:tc>
        <w:tc>
          <w:tcPr>
            <w:tcW w:w="910"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r>
      <w:tr>
        <w:trPr/>
        <w:tc>
          <w:tcPr>
            <w:tcW w:w="40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_____________ (___%)</w:t>
            </w:r>
          </w:p>
        </w:tc>
        <w:tc>
          <w:tcPr>
            <w:tcW w:w="961"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bidi w:val="0"/>
              <w:spacing w:before="0" w:after="283"/>
              <w:jc w:val="left"/>
              <w:rPr>
                <w:sz w:val="4"/>
                <w:szCs w:val="4"/>
              </w:rPr>
            </w:pPr>
            <w:r>
              <w:rPr>
                <w:sz w:val="4"/>
                <w:szCs w:val="4"/>
              </w:rPr>
            </w:r>
          </w:p>
        </w:tc>
        <w:tc>
          <w:tcPr>
            <w:tcW w:w="910"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Once exercisable, this Stock Option shall continue to be exercisable at any time or times prior to the close of business on the Expiration Date, subject to the provisions hereof and of the Plan. Notwithstanding the foregoing, upon a Sale Event, this option shall become 100% exercisable.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Manner of Exercise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Grantee may exercise this Stock Option only in the following manner: from time to time on or prior to the Expiration Date of this Stock Option, the Grantee may give written notice to the Administrator of his or her election to purchase some or all of the Option Shares purchasable at the time of such notice. This notice shall specify the number of Option Shares to be purchased. </w:t>
      </w:r>
    </w:p>
    <w:p>
      <w:pPr>
        <w:pStyle w:val="TextBody"/>
        <w:bidi w:val="0"/>
        <w:spacing w:before="240" w:after="0"/>
        <w:jc w:val="left"/>
        <w:rPr>
          <w:rFonts w:ascii="Times New Roman" w:hAnsi="Times New Roman"/>
          <w:sz w:val="20"/>
        </w:rPr>
      </w:pPr>
      <w:r>
        <w:rPr>
          <w:rFonts w:ascii="Times New Roman" w:hAnsi="Times New Roman"/>
          <w:sz w:val="20"/>
        </w:rPr>
        <w:t xml:space="preserve">Payment of the purchase price for the Option Shares may be made by one or more of the following methods: (i) in cash, by certified or bank check or other instrument acceptable to the Administrator; (ii) through the delivery (or attestation to the ownership) of Shares that have been purchased by the Grantee on the open market or that are beneficially owned by the Grantee and are not then subject to any restrictions under any Company plan and that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otherwise satisfy any holding periods as may be required by the Administrator; (iii) by the Grantee delivering to the Company a properly executed exercise notice together with irrevocable instructions to a broker to promptly deliver to the Company cash or a check payable and acceptable to the Company to pay the option purchase price, provided that in the event the Grantee chooses to pay the option purchase price as so provided, the Grantee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issuable upon exercise by the largest whole number of shares with a Fair Market Value that does not exceed the aggregate exercise price; or (v) a combination of (i), (ii), (iii) and (iv) above. Payment instruments will be received subject to collection. </w:t>
      </w:r>
    </w:p>
    <w:p>
      <w:pPr>
        <w:pStyle w:val="TextBody"/>
        <w:bidi w:val="0"/>
        <w:spacing w:before="240" w:after="0"/>
        <w:jc w:val="left"/>
        <w:rPr>
          <w:rFonts w:ascii="Times New Roman" w:hAnsi="Times New Roman"/>
          <w:sz w:val="20"/>
        </w:rPr>
      </w:pPr>
      <w:r>
        <w:rPr>
          <w:rFonts w:ascii="Times New Roman" w:hAnsi="Times New Roman"/>
          <w:sz w:val="20"/>
        </w:rPr>
        <w:t xml:space="preserve">The transfer to the Grantee on the records of the Company or of the transfer agent of the Option Shares will be contingent upon (i) the Company’s receipt from the Grantee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Shares to be purchased pursuant to the exercise of Stock Options under the Plan and any subsequent resale of the Shares will be in compliance with applicable laws and regulations. In the event the Grantee chooses to pay the purchase price by previously-owned Shares through the attestation method, the number of Shares transferred to the Grantee upon the exercise of the Stock Option shall be net of the Shares attested to. </w:t>
      </w:r>
    </w:p>
    <w:p>
      <w:pPr>
        <w:pStyle w:val="TextBody"/>
        <w:bidi w:val="0"/>
        <w:spacing w:before="240" w:after="0"/>
        <w:jc w:val="left"/>
        <w:rPr>
          <w:rFonts w:ascii="Times New Roman" w:hAnsi="Times New Roman"/>
          <w:sz w:val="20"/>
        </w:rPr>
      </w:pPr>
      <w:r>
        <w:rPr>
          <w:rFonts w:ascii="Times New Roman" w:hAnsi="Times New Roman"/>
          <w:sz w:val="20"/>
        </w:rPr>
        <w:t xml:space="preserve">(b) The Shares purchased upon exercise of this Stock Option shall be transferred to the Grantee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Grantee. The Grantee shall not be deemed to be the holder of, or to have any of the rights of a holder with respect to, any Shares subject to this Stock Option unless and until this Stock Option shall have been exercised pursuant to the terms hereof, the Company or the transfer agent shall have transferred the shares to the Grantee, and the Grantee’s name shall have been entered as the shareholder of record in the register of members of the Company. Thereupon, the Grantee shall have full voting, dividend and other ownership rights with respect to such Shares. </w:t>
      </w:r>
    </w:p>
    <w:p>
      <w:pPr>
        <w:pStyle w:val="TextBody"/>
        <w:bidi w:val="0"/>
        <w:spacing w:before="240" w:after="0"/>
        <w:jc w:val="left"/>
        <w:rPr>
          <w:rFonts w:ascii="Times New Roman" w:hAnsi="Times New Roman"/>
          <w:sz w:val="20"/>
        </w:rPr>
      </w:pPr>
      <w:r>
        <w:rPr>
          <w:rFonts w:ascii="Times New Roman" w:hAnsi="Times New Roman"/>
          <w:sz w:val="20"/>
        </w:rPr>
        <w:t xml:space="preserve">(c) 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 other provision hereof or of the Plan, no portion of this Stock Option shall be exercisable after the Expiration Date hereof.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Termination as Director</w:t>
      </w:r>
      <w:r>
        <w:rPr>
          <w:rFonts w:ascii="Times New Roman" w:hAnsi="Times New Roman"/>
          <w:sz w:val="20"/>
        </w:rPr>
        <w:t xml:space="preserve">. If the Grantee’s Service Relationship ceases, the period within which to exercise the Stock Option may be subject to earlier termination as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Termination Due to Death or Disability</w:t>
      </w:r>
      <w:r>
        <w:rPr>
          <w:rFonts w:ascii="Times New Roman" w:hAnsi="Times New Roman"/>
          <w:sz w:val="20"/>
        </w:rPr>
        <w:t xml:space="preserve">. If the Grantee’s Service Relationship as a Director ceases by reason of the Grantee’s death or disability (as reasonably determined by the Administrator in accordance with Section 409A and applicable law), any portion of this Stock Option outstanding on such date, to the extent exercisable on the date of death or disability, may thereafter be exercised by the Grantee or Grantee’s legal representative or legatee, as applicable, for a period of 12 months from the date of death, disability or until the Expiration Date, if earlier. Any portion of this Stock Option that is not exercisable on the date of death or disability shall terminate immediately and be of no further force or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Other Termination</w:t>
      </w:r>
      <w:r>
        <w:rPr>
          <w:rFonts w:ascii="Times New Roman" w:hAnsi="Times New Roman"/>
          <w:sz w:val="20"/>
        </w:rPr>
        <w:t xml:space="preserve">. If the Grantee’s Service Relationship as a Director ceases for any reason other than the Grantee’s death or disability, any portion of this Stock Option outstanding on such date may be exercised, to the extent exercisable on the date the Grantee ceased to be a Director, for a period of two years from the date the Grantee ceased to be a Director or until the Expiration Date, if earlier. Any portion of this Stock Option that is not exercisable on the date the Grantee ceases to be a Director shall terminate immediately and be of no further force or effect.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Incorporation of Plan</w:t>
      </w:r>
      <w:r>
        <w:rPr>
          <w:rFonts w:ascii="Times New Roman" w:hAnsi="Times New Roman"/>
          <w:sz w:val="20"/>
        </w:rPr>
        <w:t xml:space="preserve">.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Transferability</w:t>
      </w:r>
      <w:r>
        <w:rPr>
          <w:rFonts w:ascii="Times New Roman" w:hAnsi="Times New Roman"/>
          <w:sz w:val="20"/>
        </w:rPr>
        <w:t xml:space="preserve">. This Agreement is personal to the Grantee, is non-assignable and is not transferable in any manner, by operation of law or otherwise, other than by will or the laws of descent and distribution. This Stock Option is exercisable, during the Grantee’s lifetime, only by the Grantee, and thereafter, only by the Grantee’s legal representative or legatee.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No Obligation to Continue as a Director</w:t>
      </w:r>
      <w:r>
        <w:rPr>
          <w:rFonts w:ascii="Times New Roman" w:hAnsi="Times New Roman"/>
          <w:sz w:val="20"/>
        </w:rPr>
        <w:t xml:space="preserve">. Neither the Plan nor this Stock Option confers upon the Grantee any rights with respect to continuance as a Director.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Integration</w:t>
      </w:r>
      <w:r>
        <w:rPr>
          <w:rFonts w:ascii="Times New Roman" w:hAnsi="Times New Roman"/>
          <w:sz w:val="20"/>
        </w:rPr>
        <w:t xml:space="preserve">. This Agreement constitutes the entire agreement between the parties with respect to this Stock Option and supersedes all prior agreements and discussions between the parties concerning such subject matter.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Data Privacy Consent</w:t>
      </w:r>
      <w:r>
        <w:rPr>
          <w:rFonts w:ascii="Times New Roman" w:hAnsi="Times New Roman"/>
          <w:sz w:val="20"/>
        </w:rPr>
        <w:t xml:space="preserve">.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Notices</w:t>
      </w:r>
      <w:r>
        <w:rPr>
          <w:rFonts w:ascii="Times New Roman" w:hAnsi="Times New Roman"/>
          <w:sz w:val="20"/>
        </w:rPr>
        <w:t xml:space="preserve">.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the page intentionally left blank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99"/>
        <w:gridCol w:w="148"/>
        <w:gridCol w:w="3135"/>
      </w:tblGrid>
      <w:tr>
        <w:trPr/>
        <w:tc>
          <w:tcPr>
            <w:tcW w:w="799"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313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DAMORA THERAPEUTICS, INC.</w:t>
            </w:r>
          </w:p>
        </w:tc>
      </w:tr>
      <w:tr>
        <w:trPr>
          <w:trHeight w:val="240" w:hRule="atLeast"/>
        </w:trPr>
        <w:tc>
          <w:tcPr>
            <w:tcW w:w="799" w:type="dxa"/>
            <w:tcBorders/>
            <w:vAlign w:val="center"/>
          </w:tcPr>
          <w:p>
            <w:pPr>
              <w:pStyle w:val="TableContents"/>
              <w:bidi w:val="0"/>
              <w:spacing w:before="0" w:after="283"/>
              <w:jc w:val="left"/>
              <w:rPr>
                <w:sz w:val="4"/>
                <w:szCs w:val="4"/>
              </w:rPr>
            </w:pPr>
            <w:r>
              <w:rPr>
                <w:sz w:val="4"/>
                <w:szCs w:val="4"/>
              </w:rPr>
            </w:r>
          </w:p>
        </w:tc>
        <w:tc>
          <w:tcPr>
            <w:tcW w:w="3283" w:type="dxa"/>
            <w:gridSpan w:val="2"/>
            <w:tcBorders/>
            <w:vAlign w:val="center"/>
          </w:tcPr>
          <w:p>
            <w:pPr>
              <w:pStyle w:val="TableContents"/>
              <w:bidi w:val="0"/>
              <w:spacing w:before="0" w:after="283"/>
              <w:jc w:val="left"/>
              <w:rPr>
                <w:sz w:val="4"/>
                <w:szCs w:val="4"/>
              </w:rPr>
            </w:pPr>
            <w:r>
              <w:rPr>
                <w:sz w:val="4"/>
                <w:szCs w:val="4"/>
              </w:rPr>
            </w:r>
          </w:p>
        </w:tc>
      </w:tr>
      <w:tr>
        <w:trPr/>
        <w:tc>
          <w:tcPr>
            <w:tcW w:w="799" w:type="dxa"/>
            <w:tcBorders/>
          </w:tcPr>
          <w:p>
            <w:pPr>
              <w:pStyle w:val="TableContents"/>
              <w:bidi w:val="0"/>
              <w:spacing w:before="0" w:after="283"/>
              <w:jc w:val="left"/>
              <w:rPr/>
            </w:pPr>
            <w:r>
              <w:rPr/>
              <w:t>By:</w:t>
            </w:r>
          </w:p>
        </w:tc>
        <w:tc>
          <w:tcPr>
            <w:tcW w:w="148" w:type="dxa"/>
            <w:tcBorders/>
            <w:vAlign w:val="bottom"/>
          </w:tcPr>
          <w:p>
            <w:pPr>
              <w:pStyle w:val="TableContents"/>
              <w:bidi w:val="0"/>
              <w:spacing w:before="0" w:after="283"/>
              <w:jc w:val="left"/>
              <w:rPr/>
            </w:pPr>
            <w:r>
              <w:rPr/>
              <w:t> </w:t>
            </w:r>
          </w:p>
        </w:tc>
        <w:tc>
          <w:tcPr>
            <w:tcW w:w="3135" w:type="dxa"/>
            <w:tcBorders/>
          </w:tcPr>
          <w:p>
            <w:pPr>
              <w:pStyle w:val="TableContents"/>
              <w:pBdr>
                <w:bottom w:val="single" w:sz="2" w:space="1" w:color="000000"/>
              </w:pBdr>
              <w:bidi w:val="0"/>
              <w:spacing w:before="0" w:after="20"/>
              <w:jc w:val="left"/>
              <w:rPr/>
            </w:pPr>
            <w:r>
              <w:rPr/>
              <w:t> </w:t>
            </w:r>
          </w:p>
        </w:tc>
      </w:tr>
      <w:tr>
        <w:trPr/>
        <w:tc>
          <w:tcPr>
            <w:tcW w:w="799"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3135" w:type="dxa"/>
            <w:tcBorders/>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Agreement is hereby accepted and the terms and conditions thereof hereby agreed to by the undersigned. Electronic acceptance of this Agreement pursuant to the Company’s instructions to the Grantee (including through an online acceptance process) is acceptable.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248"/>
        <w:gridCol w:w="125"/>
        <w:gridCol w:w="1571"/>
        <w:gridCol w:w="125"/>
        <w:gridCol w:w="4136"/>
      </w:tblGrid>
      <w:tr>
        <w:trPr/>
        <w:tc>
          <w:tcPr>
            <w:tcW w:w="4248"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4136" w:type="dxa"/>
            <w:tcBorders/>
            <w:vAlign w:val="center"/>
          </w:tcPr>
          <w:p>
            <w:pPr>
              <w:pStyle w:val="TableContents"/>
              <w:bidi w:val="0"/>
              <w:spacing w:before="0" w:after="283"/>
              <w:jc w:val="left"/>
              <w:rPr>
                <w:sz w:val="4"/>
                <w:szCs w:val="4"/>
              </w:rPr>
            </w:pPr>
            <w:r>
              <w:rPr>
                <w:sz w:val="4"/>
                <w:szCs w:val="4"/>
              </w:rPr>
            </w:r>
          </w:p>
        </w:tc>
      </w:tr>
      <w:tr>
        <w:trPr/>
        <w:tc>
          <w:tcPr>
            <w:tcW w:w="4248" w:type="dxa"/>
            <w:tcBorders/>
          </w:tcPr>
          <w:p>
            <w:pPr>
              <w:pStyle w:val="TableContents"/>
              <w:bidi w:val="0"/>
              <w:spacing w:before="0" w:after="283"/>
              <w:jc w:val="left"/>
              <w:rPr/>
            </w:pPr>
            <w:r>
              <w:rPr/>
              <w:t>Dated:</w:t>
            </w:r>
          </w:p>
        </w:tc>
        <w:tc>
          <w:tcPr>
            <w:tcW w:w="125" w:type="dxa"/>
            <w:tcBorders/>
            <w:vAlign w:val="bottom"/>
          </w:tcPr>
          <w:p>
            <w:pPr>
              <w:pStyle w:val="TableContents"/>
              <w:bidi w:val="0"/>
              <w:spacing w:before="0" w:after="283"/>
              <w:jc w:val="left"/>
              <w:rPr/>
            </w:pPr>
            <w:r>
              <w:rPr/>
              <w:t>  </w:t>
            </w:r>
          </w:p>
        </w:tc>
        <w:tc>
          <w:tcPr>
            <w:tcW w:w="1571"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4136" w:type="dxa"/>
            <w:tcBorders/>
          </w:tcPr>
          <w:p>
            <w:pPr>
              <w:pStyle w:val="TableContents"/>
              <w:pBdr>
                <w:bottom w:val="single" w:sz="2" w:space="1" w:color="000000"/>
              </w:pBdr>
              <w:bidi w:val="0"/>
              <w:spacing w:before="0" w:after="20"/>
              <w:jc w:val="left"/>
              <w:rPr/>
            </w:pPr>
            <w:r>
              <w:rPr/>
              <w:t> </w:t>
            </w:r>
          </w:p>
        </w:tc>
      </w:tr>
      <w:tr>
        <w:trPr/>
        <w:tc>
          <w:tcPr>
            <w:tcW w:w="4248"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571"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4136" w:type="dxa"/>
            <w:tcBorders/>
          </w:tcPr>
          <w:p>
            <w:pPr>
              <w:pStyle w:val="TableContents"/>
              <w:bidi w:val="0"/>
              <w:spacing w:before="0" w:after="283"/>
              <w:jc w:val="left"/>
              <w:rPr/>
            </w:pPr>
            <w:r>
              <w:rPr/>
              <w:t>Grantee’s Signature</w:t>
            </w:r>
          </w:p>
        </w:tc>
      </w:tr>
      <w:tr>
        <w:trPr>
          <w:trHeight w:val="240" w:hRule="atLeast"/>
        </w:trPr>
        <w:tc>
          <w:tcPr>
            <w:tcW w:w="4248" w:type="dxa"/>
            <w:tcBorders/>
            <w:vAlign w:val="center"/>
          </w:tcPr>
          <w:p>
            <w:pPr>
              <w:pStyle w:val="TableContents"/>
              <w:bidi w:val="0"/>
              <w:spacing w:before="0" w:after="283"/>
              <w:jc w:val="left"/>
              <w:rPr>
                <w:sz w:val="4"/>
                <w:szCs w:val="4"/>
              </w:rPr>
            </w:pPr>
            <w:r>
              <w:rPr>
                <w:sz w:val="4"/>
                <w:szCs w:val="4"/>
              </w:rPr>
            </w:r>
          </w:p>
        </w:tc>
        <w:tc>
          <w:tcPr>
            <w:tcW w:w="1696" w:type="dxa"/>
            <w:gridSpan w:val="2"/>
            <w:tcBorders/>
            <w:vAlign w:val="center"/>
          </w:tcPr>
          <w:p>
            <w:pPr>
              <w:pStyle w:val="TableContents"/>
              <w:bidi w:val="0"/>
              <w:spacing w:before="0" w:after="283"/>
              <w:jc w:val="left"/>
              <w:rPr>
                <w:sz w:val="4"/>
                <w:szCs w:val="4"/>
              </w:rPr>
            </w:pPr>
            <w:r>
              <w:rPr>
                <w:sz w:val="4"/>
                <w:szCs w:val="4"/>
              </w:rPr>
            </w:r>
          </w:p>
        </w:tc>
        <w:tc>
          <w:tcPr>
            <w:tcW w:w="4261" w:type="dxa"/>
            <w:gridSpan w:val="2"/>
            <w:tcBorders/>
            <w:vAlign w:val="center"/>
          </w:tcPr>
          <w:p>
            <w:pPr>
              <w:pStyle w:val="TableContents"/>
              <w:bidi w:val="0"/>
              <w:spacing w:before="0" w:after="283"/>
              <w:jc w:val="left"/>
              <w:rPr>
                <w:sz w:val="4"/>
                <w:szCs w:val="4"/>
              </w:rPr>
            </w:pPr>
            <w:r>
              <w:rPr>
                <w:sz w:val="4"/>
                <w:szCs w:val="4"/>
              </w:rPr>
            </w:r>
          </w:p>
        </w:tc>
      </w:tr>
      <w:tr>
        <w:trPr/>
        <w:tc>
          <w:tcPr>
            <w:tcW w:w="4248"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571"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4136" w:type="dxa"/>
            <w:tcBorders/>
          </w:tcPr>
          <w:p>
            <w:pPr>
              <w:pStyle w:val="TableContents"/>
              <w:bidi w:val="0"/>
              <w:spacing w:before="0" w:after="283"/>
              <w:jc w:val="left"/>
              <w:rPr/>
            </w:pPr>
            <w:r>
              <w:rPr/>
              <w:t>Grantee’s name and address:</w:t>
            </w:r>
          </w:p>
        </w:tc>
      </w:tr>
      <w:tr>
        <w:trPr>
          <w:trHeight w:val="240" w:hRule="atLeast"/>
        </w:trPr>
        <w:tc>
          <w:tcPr>
            <w:tcW w:w="4248" w:type="dxa"/>
            <w:tcBorders/>
            <w:vAlign w:val="center"/>
          </w:tcPr>
          <w:p>
            <w:pPr>
              <w:pStyle w:val="TableContents"/>
              <w:bidi w:val="0"/>
              <w:spacing w:before="0" w:after="283"/>
              <w:jc w:val="left"/>
              <w:rPr>
                <w:sz w:val="4"/>
                <w:szCs w:val="4"/>
              </w:rPr>
            </w:pPr>
            <w:r>
              <w:rPr>
                <w:sz w:val="4"/>
                <w:szCs w:val="4"/>
              </w:rPr>
            </w:r>
          </w:p>
        </w:tc>
        <w:tc>
          <w:tcPr>
            <w:tcW w:w="1696" w:type="dxa"/>
            <w:gridSpan w:val="2"/>
            <w:tcBorders/>
            <w:vAlign w:val="center"/>
          </w:tcPr>
          <w:p>
            <w:pPr>
              <w:pStyle w:val="TableContents"/>
              <w:bidi w:val="0"/>
              <w:spacing w:before="0" w:after="283"/>
              <w:jc w:val="left"/>
              <w:rPr>
                <w:sz w:val="4"/>
                <w:szCs w:val="4"/>
              </w:rPr>
            </w:pPr>
            <w:r>
              <w:rPr>
                <w:sz w:val="4"/>
                <w:szCs w:val="4"/>
              </w:rPr>
            </w:r>
          </w:p>
        </w:tc>
        <w:tc>
          <w:tcPr>
            <w:tcW w:w="4261" w:type="dxa"/>
            <w:gridSpan w:val="2"/>
            <w:tcBorders/>
            <w:vAlign w:val="center"/>
          </w:tcPr>
          <w:p>
            <w:pPr>
              <w:pStyle w:val="TableContents"/>
              <w:bidi w:val="0"/>
              <w:spacing w:before="0" w:after="283"/>
              <w:jc w:val="left"/>
              <w:rPr>
                <w:sz w:val="4"/>
                <w:szCs w:val="4"/>
              </w:rPr>
            </w:pPr>
            <w:r>
              <w:rPr>
                <w:sz w:val="4"/>
                <w:szCs w:val="4"/>
              </w:rPr>
            </w:r>
          </w:p>
        </w:tc>
      </w:tr>
      <w:tr>
        <w:trPr/>
        <w:tc>
          <w:tcPr>
            <w:tcW w:w="4248"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571"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4136" w:type="dxa"/>
            <w:tcBorders/>
          </w:tcPr>
          <w:p>
            <w:pPr>
              <w:pStyle w:val="TableContents"/>
              <w:pBdr>
                <w:bottom w:val="single" w:sz="2" w:space="1" w:color="000000"/>
              </w:pBdr>
              <w:bidi w:val="0"/>
              <w:spacing w:before="0" w:after="20"/>
              <w:jc w:val="left"/>
              <w:rPr/>
            </w:pPr>
            <w:r>
              <w:rPr/>
              <w:t> </w:t>
            </w:r>
          </w:p>
        </w:tc>
      </w:tr>
      <w:tr>
        <w:trPr>
          <w:trHeight w:val="240" w:hRule="atLeast"/>
        </w:trPr>
        <w:tc>
          <w:tcPr>
            <w:tcW w:w="4248" w:type="dxa"/>
            <w:tcBorders/>
            <w:vAlign w:val="center"/>
          </w:tcPr>
          <w:p>
            <w:pPr>
              <w:pStyle w:val="TableContents"/>
              <w:bidi w:val="0"/>
              <w:spacing w:before="0" w:after="283"/>
              <w:jc w:val="left"/>
              <w:rPr>
                <w:sz w:val="4"/>
                <w:szCs w:val="4"/>
              </w:rPr>
            </w:pPr>
            <w:r>
              <w:rPr>
                <w:sz w:val="4"/>
                <w:szCs w:val="4"/>
              </w:rPr>
            </w:r>
          </w:p>
        </w:tc>
        <w:tc>
          <w:tcPr>
            <w:tcW w:w="1696" w:type="dxa"/>
            <w:gridSpan w:val="2"/>
            <w:tcBorders/>
            <w:vAlign w:val="center"/>
          </w:tcPr>
          <w:p>
            <w:pPr>
              <w:pStyle w:val="TableContents"/>
              <w:bidi w:val="0"/>
              <w:spacing w:before="0" w:after="283"/>
              <w:jc w:val="left"/>
              <w:rPr>
                <w:sz w:val="4"/>
                <w:szCs w:val="4"/>
              </w:rPr>
            </w:pPr>
            <w:r>
              <w:rPr>
                <w:sz w:val="4"/>
                <w:szCs w:val="4"/>
              </w:rPr>
            </w:r>
          </w:p>
        </w:tc>
        <w:tc>
          <w:tcPr>
            <w:tcW w:w="4261" w:type="dxa"/>
            <w:gridSpan w:val="2"/>
            <w:tcBorders/>
            <w:vAlign w:val="center"/>
          </w:tcPr>
          <w:p>
            <w:pPr>
              <w:pStyle w:val="TableContents"/>
              <w:bidi w:val="0"/>
              <w:spacing w:before="0" w:after="283"/>
              <w:jc w:val="left"/>
              <w:rPr>
                <w:sz w:val="4"/>
                <w:szCs w:val="4"/>
              </w:rPr>
            </w:pPr>
            <w:r>
              <w:rPr>
                <w:sz w:val="4"/>
                <w:szCs w:val="4"/>
              </w:rPr>
            </w:r>
          </w:p>
        </w:tc>
      </w:tr>
      <w:tr>
        <w:trPr/>
        <w:tc>
          <w:tcPr>
            <w:tcW w:w="4248"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571"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4136" w:type="dxa"/>
            <w:tcBorders/>
          </w:tcPr>
          <w:p>
            <w:pPr>
              <w:pStyle w:val="TableContents"/>
              <w:pBdr>
                <w:bottom w:val="single" w:sz="2" w:space="1" w:color="000000"/>
              </w:pBdr>
              <w:bidi w:val="0"/>
              <w:spacing w:before="0" w:after="20"/>
              <w:jc w:val="left"/>
              <w:rPr/>
            </w:pPr>
            <w:r>
              <w:rPr/>
              <w:t> </w:t>
            </w:r>
          </w:p>
        </w:tc>
      </w:tr>
      <w:tr>
        <w:trPr>
          <w:trHeight w:val="240" w:hRule="atLeast"/>
        </w:trPr>
        <w:tc>
          <w:tcPr>
            <w:tcW w:w="4248" w:type="dxa"/>
            <w:tcBorders/>
            <w:vAlign w:val="center"/>
          </w:tcPr>
          <w:p>
            <w:pPr>
              <w:pStyle w:val="TableContents"/>
              <w:bidi w:val="0"/>
              <w:spacing w:before="0" w:after="283"/>
              <w:jc w:val="left"/>
              <w:rPr>
                <w:sz w:val="4"/>
                <w:szCs w:val="4"/>
              </w:rPr>
            </w:pPr>
            <w:r>
              <w:rPr>
                <w:sz w:val="4"/>
                <w:szCs w:val="4"/>
              </w:rPr>
            </w:r>
          </w:p>
        </w:tc>
        <w:tc>
          <w:tcPr>
            <w:tcW w:w="1696" w:type="dxa"/>
            <w:gridSpan w:val="2"/>
            <w:tcBorders/>
            <w:vAlign w:val="center"/>
          </w:tcPr>
          <w:p>
            <w:pPr>
              <w:pStyle w:val="TableContents"/>
              <w:bidi w:val="0"/>
              <w:spacing w:before="0" w:after="283"/>
              <w:jc w:val="left"/>
              <w:rPr>
                <w:sz w:val="4"/>
                <w:szCs w:val="4"/>
              </w:rPr>
            </w:pPr>
            <w:r>
              <w:rPr>
                <w:sz w:val="4"/>
                <w:szCs w:val="4"/>
              </w:rPr>
            </w:r>
          </w:p>
        </w:tc>
        <w:tc>
          <w:tcPr>
            <w:tcW w:w="4261" w:type="dxa"/>
            <w:gridSpan w:val="2"/>
            <w:tcBorders/>
            <w:vAlign w:val="center"/>
          </w:tcPr>
          <w:p>
            <w:pPr>
              <w:pStyle w:val="TableContents"/>
              <w:bidi w:val="0"/>
              <w:spacing w:before="0" w:after="283"/>
              <w:jc w:val="left"/>
              <w:rPr>
                <w:sz w:val="4"/>
                <w:szCs w:val="4"/>
              </w:rPr>
            </w:pPr>
            <w:r>
              <w:rPr>
                <w:sz w:val="4"/>
                <w:szCs w:val="4"/>
              </w:rPr>
            </w:r>
          </w:p>
        </w:tc>
      </w:tr>
      <w:tr>
        <w:trPr/>
        <w:tc>
          <w:tcPr>
            <w:tcW w:w="4248"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571"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4136" w:type="dxa"/>
            <w:tcBorders/>
          </w:tcPr>
          <w:p>
            <w:pPr>
              <w:pStyle w:val="TableContents"/>
              <w:pBdr>
                <w:bottom w:val="single" w:sz="2" w:space="1" w:color="000000"/>
              </w:pBdr>
              <w:bidi w:val="0"/>
              <w:spacing w:before="0" w:after="20"/>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INCENTIVE STOCK OPTION AGREEMENT </w:t>
      </w:r>
    </w:p>
    <w:p>
      <w:pPr>
        <w:pStyle w:val="TextBody"/>
        <w:bidi w:val="0"/>
        <w:spacing w:before="0" w:after="0"/>
        <w:jc w:val="center"/>
        <w:rPr>
          <w:rFonts w:ascii="Times New Roman" w:hAnsi="Times New Roman"/>
          <w:b/>
          <w:sz w:val="20"/>
        </w:rPr>
      </w:pPr>
      <w:r>
        <w:rPr>
          <w:rFonts w:ascii="Times New Roman" w:hAnsi="Times New Roman"/>
          <w:b/>
          <w:sz w:val="20"/>
        </w:rPr>
        <w:t xml:space="preserve">UNDER THE DAMORA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2020 EQUITY INCENTIVE PLAN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15"/>
        <w:gridCol w:w="120"/>
        <w:gridCol w:w="2352"/>
        <w:gridCol w:w="120"/>
        <w:gridCol w:w="2542"/>
        <w:gridCol w:w="120"/>
        <w:gridCol w:w="2236"/>
      </w:tblGrid>
      <w:tr>
        <w:trPr/>
        <w:tc>
          <w:tcPr>
            <w:tcW w:w="271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5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54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r>
      <w:tr>
        <w:trPr/>
        <w:tc>
          <w:tcPr>
            <w:tcW w:w="2715" w:type="dxa"/>
            <w:tcBorders/>
          </w:tcPr>
          <w:p>
            <w:pPr>
              <w:pStyle w:val="TableContents"/>
              <w:bidi w:val="0"/>
              <w:spacing w:before="0" w:after="283"/>
              <w:jc w:val="left"/>
              <w:rPr/>
            </w:pPr>
            <w:r>
              <w:rPr/>
              <w:t>Name of Grantee:</w:t>
            </w:r>
          </w:p>
        </w:tc>
        <w:tc>
          <w:tcPr>
            <w:tcW w:w="120" w:type="dxa"/>
            <w:tcBorders/>
            <w:vAlign w:val="bottom"/>
          </w:tcPr>
          <w:p>
            <w:pPr>
              <w:pStyle w:val="TableContents"/>
              <w:bidi w:val="0"/>
              <w:spacing w:before="0" w:after="283"/>
              <w:jc w:val="left"/>
              <w:rPr/>
            </w:pPr>
            <w:r>
              <w:rPr/>
              <w:t>  </w:t>
            </w:r>
          </w:p>
        </w:tc>
        <w:tc>
          <w:tcPr>
            <w:tcW w:w="235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54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36" w:type="dxa"/>
            <w:tcBorders/>
          </w:tcPr>
          <w:p>
            <w:pPr>
              <w:pStyle w:val="TableContents"/>
              <w:bidi w:val="0"/>
              <w:spacing w:before="0" w:after="283"/>
              <w:jc w:val="left"/>
              <w:rPr>
                <w:sz w:val="4"/>
                <w:szCs w:val="4"/>
              </w:rPr>
            </w:pPr>
            <w:r>
              <w:rPr>
                <w:sz w:val="4"/>
                <w:szCs w:val="4"/>
              </w:rPr>
            </w:r>
          </w:p>
        </w:tc>
      </w:tr>
      <w:tr>
        <w:trPr>
          <w:trHeight w:val="120" w:hRule="atLeast"/>
        </w:trPr>
        <w:tc>
          <w:tcPr>
            <w:tcW w:w="2715" w:type="dxa"/>
            <w:tcBorders/>
            <w:vAlign w:val="center"/>
          </w:tcPr>
          <w:p>
            <w:pPr>
              <w:pStyle w:val="TableContents"/>
              <w:bidi w:val="0"/>
              <w:spacing w:before="0" w:after="283"/>
              <w:jc w:val="left"/>
              <w:rPr>
                <w:sz w:val="4"/>
                <w:szCs w:val="4"/>
              </w:rPr>
            </w:pPr>
            <w:r>
              <w:rPr>
                <w:sz w:val="4"/>
                <w:szCs w:val="4"/>
              </w:rPr>
            </w:r>
          </w:p>
        </w:tc>
        <w:tc>
          <w:tcPr>
            <w:tcW w:w="2472" w:type="dxa"/>
            <w:gridSpan w:val="2"/>
            <w:tcBorders/>
            <w:vAlign w:val="center"/>
          </w:tcPr>
          <w:p>
            <w:pPr>
              <w:pStyle w:val="TableContents"/>
              <w:bidi w:val="0"/>
              <w:spacing w:before="0" w:after="283"/>
              <w:jc w:val="left"/>
              <w:rPr>
                <w:sz w:val="4"/>
                <w:szCs w:val="4"/>
              </w:rPr>
            </w:pPr>
            <w:r>
              <w:rPr>
                <w:sz w:val="4"/>
                <w:szCs w:val="4"/>
              </w:rPr>
            </w:r>
          </w:p>
        </w:tc>
        <w:tc>
          <w:tcPr>
            <w:tcW w:w="2662" w:type="dxa"/>
            <w:gridSpan w:val="2"/>
            <w:tcBorders/>
            <w:vAlign w:val="center"/>
          </w:tcPr>
          <w:p>
            <w:pPr>
              <w:pStyle w:val="TableContents"/>
              <w:bidi w:val="0"/>
              <w:spacing w:before="0" w:after="283"/>
              <w:jc w:val="left"/>
              <w:rPr>
                <w:sz w:val="4"/>
                <w:szCs w:val="4"/>
              </w:rPr>
            </w:pPr>
            <w:r>
              <w:rPr>
                <w:sz w:val="4"/>
                <w:szCs w:val="4"/>
              </w:rPr>
            </w:r>
          </w:p>
        </w:tc>
        <w:tc>
          <w:tcPr>
            <w:tcW w:w="2356" w:type="dxa"/>
            <w:gridSpan w:val="2"/>
            <w:tcBorders/>
            <w:vAlign w:val="center"/>
          </w:tcPr>
          <w:p>
            <w:pPr>
              <w:pStyle w:val="TableContents"/>
              <w:bidi w:val="0"/>
              <w:spacing w:before="0" w:after="283"/>
              <w:jc w:val="left"/>
              <w:rPr>
                <w:sz w:val="4"/>
                <w:szCs w:val="4"/>
              </w:rPr>
            </w:pPr>
            <w:r>
              <w:rPr>
                <w:sz w:val="4"/>
                <w:szCs w:val="4"/>
              </w:rPr>
            </w:r>
          </w:p>
        </w:tc>
      </w:tr>
      <w:tr>
        <w:trPr/>
        <w:tc>
          <w:tcPr>
            <w:tcW w:w="2715" w:type="dxa"/>
            <w:tcBorders/>
          </w:tcPr>
          <w:p>
            <w:pPr>
              <w:pStyle w:val="TableContents"/>
              <w:bidi w:val="0"/>
              <w:spacing w:before="0" w:after="283"/>
              <w:jc w:val="left"/>
              <w:rPr/>
            </w:pPr>
            <w:r>
              <w:rPr/>
              <w:t>No. of Option Shares:</w:t>
            </w:r>
          </w:p>
        </w:tc>
        <w:tc>
          <w:tcPr>
            <w:tcW w:w="120" w:type="dxa"/>
            <w:tcBorders/>
            <w:vAlign w:val="bottom"/>
          </w:tcPr>
          <w:p>
            <w:pPr>
              <w:pStyle w:val="TableContents"/>
              <w:bidi w:val="0"/>
              <w:spacing w:before="0" w:after="283"/>
              <w:jc w:val="left"/>
              <w:rPr/>
            </w:pPr>
            <w:r>
              <w:rPr/>
              <w:t>  </w:t>
            </w:r>
          </w:p>
        </w:tc>
        <w:tc>
          <w:tcPr>
            <w:tcW w:w="235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542" w:type="dxa"/>
            <w:tcBorders/>
          </w:tcPr>
          <w:p>
            <w:pPr>
              <w:pStyle w:val="TableContents"/>
              <w:bidi w:val="0"/>
              <w:spacing w:before="0" w:after="283"/>
              <w:jc w:val="left"/>
              <w:rPr/>
            </w:pPr>
            <w:r>
              <w:rPr/>
              <w:t>(the “Option Shares”)</w:t>
            </w:r>
          </w:p>
        </w:tc>
        <w:tc>
          <w:tcPr>
            <w:tcW w:w="120" w:type="dxa"/>
            <w:tcBorders/>
            <w:vAlign w:val="bottom"/>
          </w:tcPr>
          <w:p>
            <w:pPr>
              <w:pStyle w:val="TableContents"/>
              <w:bidi w:val="0"/>
              <w:spacing w:before="0" w:after="283"/>
              <w:jc w:val="left"/>
              <w:rPr/>
            </w:pPr>
            <w:r>
              <w:rPr/>
              <w:t>  </w:t>
            </w:r>
          </w:p>
        </w:tc>
        <w:tc>
          <w:tcPr>
            <w:tcW w:w="2236" w:type="dxa"/>
            <w:tcBorders/>
          </w:tcPr>
          <w:p>
            <w:pPr>
              <w:pStyle w:val="TableContents"/>
              <w:bidi w:val="0"/>
              <w:spacing w:before="0" w:after="283"/>
              <w:jc w:val="left"/>
              <w:rPr>
                <w:sz w:val="4"/>
                <w:szCs w:val="4"/>
              </w:rPr>
            </w:pPr>
            <w:r>
              <w:rPr>
                <w:sz w:val="4"/>
                <w:szCs w:val="4"/>
              </w:rPr>
            </w:r>
          </w:p>
        </w:tc>
      </w:tr>
      <w:tr>
        <w:trPr>
          <w:trHeight w:val="120" w:hRule="atLeast"/>
        </w:trPr>
        <w:tc>
          <w:tcPr>
            <w:tcW w:w="2715" w:type="dxa"/>
            <w:tcBorders/>
            <w:vAlign w:val="center"/>
          </w:tcPr>
          <w:p>
            <w:pPr>
              <w:pStyle w:val="TableContents"/>
              <w:bidi w:val="0"/>
              <w:spacing w:before="0" w:after="283"/>
              <w:jc w:val="left"/>
              <w:rPr>
                <w:sz w:val="4"/>
                <w:szCs w:val="4"/>
              </w:rPr>
            </w:pPr>
            <w:r>
              <w:rPr>
                <w:sz w:val="4"/>
                <w:szCs w:val="4"/>
              </w:rPr>
            </w:r>
          </w:p>
        </w:tc>
        <w:tc>
          <w:tcPr>
            <w:tcW w:w="2472" w:type="dxa"/>
            <w:gridSpan w:val="2"/>
            <w:tcBorders/>
            <w:vAlign w:val="center"/>
          </w:tcPr>
          <w:p>
            <w:pPr>
              <w:pStyle w:val="TableContents"/>
              <w:bidi w:val="0"/>
              <w:spacing w:before="0" w:after="283"/>
              <w:jc w:val="left"/>
              <w:rPr>
                <w:sz w:val="4"/>
                <w:szCs w:val="4"/>
              </w:rPr>
            </w:pPr>
            <w:r>
              <w:rPr>
                <w:sz w:val="4"/>
                <w:szCs w:val="4"/>
              </w:rPr>
            </w:r>
          </w:p>
        </w:tc>
        <w:tc>
          <w:tcPr>
            <w:tcW w:w="2662" w:type="dxa"/>
            <w:gridSpan w:val="2"/>
            <w:tcBorders/>
            <w:vAlign w:val="center"/>
          </w:tcPr>
          <w:p>
            <w:pPr>
              <w:pStyle w:val="TableContents"/>
              <w:bidi w:val="0"/>
              <w:spacing w:before="0" w:after="283"/>
              <w:jc w:val="left"/>
              <w:rPr>
                <w:sz w:val="4"/>
                <w:szCs w:val="4"/>
              </w:rPr>
            </w:pPr>
            <w:r>
              <w:rPr>
                <w:sz w:val="4"/>
                <w:szCs w:val="4"/>
              </w:rPr>
            </w:r>
          </w:p>
        </w:tc>
        <w:tc>
          <w:tcPr>
            <w:tcW w:w="2356" w:type="dxa"/>
            <w:gridSpan w:val="2"/>
            <w:tcBorders/>
            <w:vAlign w:val="center"/>
          </w:tcPr>
          <w:p>
            <w:pPr>
              <w:pStyle w:val="TableContents"/>
              <w:bidi w:val="0"/>
              <w:spacing w:before="0" w:after="283"/>
              <w:jc w:val="left"/>
              <w:rPr>
                <w:sz w:val="4"/>
                <w:szCs w:val="4"/>
              </w:rPr>
            </w:pPr>
            <w:r>
              <w:rPr>
                <w:sz w:val="4"/>
                <w:szCs w:val="4"/>
              </w:rPr>
            </w:r>
          </w:p>
        </w:tc>
      </w:tr>
      <w:tr>
        <w:trPr/>
        <w:tc>
          <w:tcPr>
            <w:tcW w:w="2715" w:type="dxa"/>
            <w:tcBorders/>
          </w:tcPr>
          <w:p>
            <w:pPr>
              <w:pStyle w:val="TableContents"/>
              <w:bidi w:val="0"/>
              <w:spacing w:before="0" w:after="283"/>
              <w:jc w:val="left"/>
              <w:rPr/>
            </w:pPr>
            <w:r>
              <w:rPr/>
              <w:t>Option Exercise Price per Share:</w:t>
            </w:r>
          </w:p>
        </w:tc>
        <w:tc>
          <w:tcPr>
            <w:tcW w:w="120" w:type="dxa"/>
            <w:tcBorders/>
            <w:vAlign w:val="bottom"/>
          </w:tcPr>
          <w:p>
            <w:pPr>
              <w:pStyle w:val="TableContents"/>
              <w:bidi w:val="0"/>
              <w:spacing w:before="0" w:after="283"/>
              <w:jc w:val="left"/>
              <w:rPr/>
            </w:pPr>
            <w:r>
              <w:rPr/>
              <w:t>  </w:t>
            </w:r>
          </w:p>
        </w:tc>
        <w:tc>
          <w:tcPr>
            <w:tcW w:w="2352"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2542" w:type="dxa"/>
            <w:tcBorders/>
          </w:tcPr>
          <w:p>
            <w:pPr>
              <w:pStyle w:val="TableContents"/>
              <w:bidi w:val="0"/>
              <w:spacing w:before="0" w:after="283"/>
              <w:jc w:val="left"/>
              <w:rPr/>
            </w:pPr>
            <w:r>
              <w:rPr/>
              <w:t>(the “Exercise Price”)</w:t>
            </w:r>
          </w:p>
        </w:tc>
        <w:tc>
          <w:tcPr>
            <w:tcW w:w="120" w:type="dxa"/>
            <w:tcBorders/>
            <w:vAlign w:val="bottom"/>
          </w:tcPr>
          <w:p>
            <w:pPr>
              <w:pStyle w:val="TableContents"/>
              <w:bidi w:val="0"/>
              <w:spacing w:before="0" w:after="283"/>
              <w:jc w:val="left"/>
              <w:rPr/>
            </w:pPr>
            <w:r>
              <w:rPr/>
              <w:t>  </w:t>
            </w:r>
          </w:p>
        </w:tc>
        <w:tc>
          <w:tcPr>
            <w:tcW w:w="2236" w:type="dxa"/>
            <w:tcBorders/>
          </w:tcPr>
          <w:p>
            <w:pPr>
              <w:pStyle w:val="TableContents"/>
              <w:bidi w:val="0"/>
              <w:spacing w:before="0" w:after="283"/>
              <w:jc w:val="left"/>
              <w:rPr>
                <w:sz w:val="4"/>
                <w:szCs w:val="4"/>
              </w:rPr>
            </w:pPr>
            <w:r>
              <w:rPr>
                <w:sz w:val="4"/>
                <w:szCs w:val="4"/>
              </w:rPr>
            </w:r>
          </w:p>
        </w:tc>
      </w:tr>
      <w:tr>
        <w:trPr>
          <w:trHeight w:val="120" w:hRule="atLeast"/>
        </w:trPr>
        <w:tc>
          <w:tcPr>
            <w:tcW w:w="2715" w:type="dxa"/>
            <w:tcBorders/>
            <w:vAlign w:val="center"/>
          </w:tcPr>
          <w:p>
            <w:pPr>
              <w:pStyle w:val="TableContents"/>
              <w:bidi w:val="0"/>
              <w:spacing w:before="0" w:after="283"/>
              <w:jc w:val="left"/>
              <w:rPr>
                <w:sz w:val="4"/>
                <w:szCs w:val="4"/>
              </w:rPr>
            </w:pPr>
            <w:r>
              <w:rPr>
                <w:sz w:val="4"/>
                <w:szCs w:val="4"/>
              </w:rPr>
            </w:r>
          </w:p>
        </w:tc>
        <w:tc>
          <w:tcPr>
            <w:tcW w:w="5134" w:type="dxa"/>
            <w:gridSpan w:val="4"/>
            <w:tcBorders/>
            <w:vAlign w:val="center"/>
          </w:tcPr>
          <w:p>
            <w:pPr>
              <w:pStyle w:val="TableContents"/>
              <w:bidi w:val="0"/>
              <w:spacing w:before="0" w:after="283"/>
              <w:jc w:val="left"/>
              <w:rPr>
                <w:sz w:val="4"/>
                <w:szCs w:val="4"/>
              </w:rPr>
            </w:pPr>
            <w:r>
              <w:rPr>
                <w:sz w:val="4"/>
                <w:szCs w:val="4"/>
              </w:rPr>
            </w:r>
          </w:p>
        </w:tc>
        <w:tc>
          <w:tcPr>
            <w:tcW w:w="2356" w:type="dxa"/>
            <w:gridSpan w:val="2"/>
            <w:tcBorders/>
            <w:vAlign w:val="center"/>
          </w:tcPr>
          <w:p>
            <w:pPr>
              <w:pStyle w:val="TableContents"/>
              <w:bidi w:val="0"/>
              <w:spacing w:before="0" w:after="283"/>
              <w:jc w:val="left"/>
              <w:rPr>
                <w:sz w:val="4"/>
                <w:szCs w:val="4"/>
              </w:rPr>
            </w:pPr>
            <w:r>
              <w:rPr>
                <w:sz w:val="4"/>
                <w:szCs w:val="4"/>
              </w:rPr>
            </w:r>
          </w:p>
        </w:tc>
      </w:tr>
      <w:tr>
        <w:trPr/>
        <w:tc>
          <w:tcPr>
            <w:tcW w:w="271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014" w:type="dxa"/>
            <w:gridSpan w:val="3"/>
            <w:tcBorders/>
          </w:tcPr>
          <w:p>
            <w:pPr>
              <w:pStyle w:val="TableContents"/>
              <w:bidi w:val="0"/>
              <w:spacing w:before="0" w:after="283"/>
              <w:jc w:val="left"/>
              <w:rPr>
                <w:b/>
              </w:rPr>
            </w:pPr>
            <w:r>
              <w:rPr>
                <w:b/>
              </w:rPr>
              <w:t>[FMV on Grant Date (110% of FMV if a 10% owner)]</w:t>
            </w:r>
          </w:p>
        </w:tc>
        <w:tc>
          <w:tcPr>
            <w:tcW w:w="120" w:type="dxa"/>
            <w:tcBorders/>
            <w:vAlign w:val="bottom"/>
          </w:tcPr>
          <w:p>
            <w:pPr>
              <w:pStyle w:val="TableContents"/>
              <w:bidi w:val="0"/>
              <w:spacing w:before="0" w:after="283"/>
              <w:jc w:val="left"/>
              <w:rPr/>
            </w:pPr>
            <w:r>
              <w:rPr/>
              <w:t>  </w:t>
            </w:r>
          </w:p>
        </w:tc>
        <w:tc>
          <w:tcPr>
            <w:tcW w:w="2236" w:type="dxa"/>
            <w:tcBorders/>
          </w:tcPr>
          <w:p>
            <w:pPr>
              <w:pStyle w:val="TableContents"/>
              <w:bidi w:val="0"/>
              <w:spacing w:before="0" w:after="283"/>
              <w:jc w:val="left"/>
              <w:rPr>
                <w:sz w:val="4"/>
                <w:szCs w:val="4"/>
              </w:rPr>
            </w:pPr>
            <w:r>
              <w:rPr>
                <w:sz w:val="4"/>
                <w:szCs w:val="4"/>
              </w:rPr>
            </w:r>
          </w:p>
        </w:tc>
      </w:tr>
      <w:tr>
        <w:trPr>
          <w:trHeight w:val="120" w:hRule="atLeast"/>
        </w:trPr>
        <w:tc>
          <w:tcPr>
            <w:tcW w:w="2715" w:type="dxa"/>
            <w:tcBorders/>
            <w:vAlign w:val="center"/>
          </w:tcPr>
          <w:p>
            <w:pPr>
              <w:pStyle w:val="TableContents"/>
              <w:bidi w:val="0"/>
              <w:spacing w:before="0" w:after="283"/>
              <w:jc w:val="left"/>
              <w:rPr>
                <w:sz w:val="4"/>
                <w:szCs w:val="4"/>
              </w:rPr>
            </w:pPr>
            <w:r>
              <w:rPr>
                <w:sz w:val="4"/>
                <w:szCs w:val="4"/>
              </w:rPr>
            </w:r>
          </w:p>
        </w:tc>
        <w:tc>
          <w:tcPr>
            <w:tcW w:w="2472" w:type="dxa"/>
            <w:gridSpan w:val="2"/>
            <w:tcBorders/>
            <w:vAlign w:val="center"/>
          </w:tcPr>
          <w:p>
            <w:pPr>
              <w:pStyle w:val="TableContents"/>
              <w:bidi w:val="0"/>
              <w:spacing w:before="0" w:after="283"/>
              <w:jc w:val="left"/>
              <w:rPr>
                <w:sz w:val="4"/>
                <w:szCs w:val="4"/>
              </w:rPr>
            </w:pPr>
            <w:r>
              <w:rPr>
                <w:sz w:val="4"/>
                <w:szCs w:val="4"/>
              </w:rPr>
            </w:r>
          </w:p>
        </w:tc>
        <w:tc>
          <w:tcPr>
            <w:tcW w:w="2662" w:type="dxa"/>
            <w:gridSpan w:val="2"/>
            <w:tcBorders/>
            <w:vAlign w:val="center"/>
          </w:tcPr>
          <w:p>
            <w:pPr>
              <w:pStyle w:val="TableContents"/>
              <w:bidi w:val="0"/>
              <w:spacing w:before="0" w:after="283"/>
              <w:jc w:val="left"/>
              <w:rPr>
                <w:sz w:val="4"/>
                <w:szCs w:val="4"/>
              </w:rPr>
            </w:pPr>
            <w:r>
              <w:rPr>
                <w:sz w:val="4"/>
                <w:szCs w:val="4"/>
              </w:rPr>
            </w:r>
          </w:p>
        </w:tc>
        <w:tc>
          <w:tcPr>
            <w:tcW w:w="2356" w:type="dxa"/>
            <w:gridSpan w:val="2"/>
            <w:tcBorders/>
            <w:vAlign w:val="center"/>
          </w:tcPr>
          <w:p>
            <w:pPr>
              <w:pStyle w:val="TableContents"/>
              <w:bidi w:val="0"/>
              <w:spacing w:before="0" w:after="283"/>
              <w:jc w:val="left"/>
              <w:rPr>
                <w:sz w:val="4"/>
                <w:szCs w:val="4"/>
              </w:rPr>
            </w:pPr>
            <w:r>
              <w:rPr>
                <w:sz w:val="4"/>
                <w:szCs w:val="4"/>
              </w:rPr>
            </w:r>
          </w:p>
        </w:tc>
      </w:tr>
      <w:tr>
        <w:trPr/>
        <w:tc>
          <w:tcPr>
            <w:tcW w:w="2715" w:type="dxa"/>
            <w:tcBorders/>
          </w:tcPr>
          <w:p>
            <w:pPr>
              <w:pStyle w:val="TableContents"/>
              <w:bidi w:val="0"/>
              <w:spacing w:before="0" w:after="283"/>
              <w:jc w:val="left"/>
              <w:rPr/>
            </w:pPr>
            <w:r>
              <w:rPr/>
              <w:t>Grant Date:</w:t>
            </w:r>
          </w:p>
        </w:tc>
        <w:tc>
          <w:tcPr>
            <w:tcW w:w="120" w:type="dxa"/>
            <w:tcBorders/>
            <w:vAlign w:val="bottom"/>
          </w:tcPr>
          <w:p>
            <w:pPr>
              <w:pStyle w:val="TableContents"/>
              <w:bidi w:val="0"/>
              <w:spacing w:before="0" w:after="283"/>
              <w:jc w:val="left"/>
              <w:rPr/>
            </w:pPr>
            <w:r>
              <w:rPr/>
              <w:t>  </w:t>
            </w:r>
          </w:p>
        </w:tc>
        <w:tc>
          <w:tcPr>
            <w:tcW w:w="235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54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36" w:type="dxa"/>
            <w:tcBorders/>
          </w:tcPr>
          <w:p>
            <w:pPr>
              <w:pStyle w:val="TableContents"/>
              <w:bidi w:val="0"/>
              <w:spacing w:before="0" w:after="283"/>
              <w:jc w:val="left"/>
              <w:rPr>
                <w:sz w:val="4"/>
                <w:szCs w:val="4"/>
              </w:rPr>
            </w:pPr>
            <w:r>
              <w:rPr>
                <w:sz w:val="4"/>
                <w:szCs w:val="4"/>
              </w:rPr>
            </w:r>
          </w:p>
        </w:tc>
      </w:tr>
      <w:tr>
        <w:trPr>
          <w:trHeight w:val="120" w:hRule="atLeast"/>
        </w:trPr>
        <w:tc>
          <w:tcPr>
            <w:tcW w:w="2715" w:type="dxa"/>
            <w:tcBorders/>
            <w:vAlign w:val="center"/>
          </w:tcPr>
          <w:p>
            <w:pPr>
              <w:pStyle w:val="TableContents"/>
              <w:bidi w:val="0"/>
              <w:spacing w:before="0" w:after="283"/>
              <w:jc w:val="left"/>
              <w:rPr>
                <w:sz w:val="4"/>
                <w:szCs w:val="4"/>
              </w:rPr>
            </w:pPr>
            <w:r>
              <w:rPr>
                <w:sz w:val="4"/>
                <w:szCs w:val="4"/>
              </w:rPr>
            </w:r>
          </w:p>
        </w:tc>
        <w:tc>
          <w:tcPr>
            <w:tcW w:w="2472" w:type="dxa"/>
            <w:gridSpan w:val="2"/>
            <w:tcBorders/>
            <w:vAlign w:val="center"/>
          </w:tcPr>
          <w:p>
            <w:pPr>
              <w:pStyle w:val="TableContents"/>
              <w:bidi w:val="0"/>
              <w:spacing w:before="0" w:after="283"/>
              <w:jc w:val="left"/>
              <w:rPr>
                <w:sz w:val="4"/>
                <w:szCs w:val="4"/>
              </w:rPr>
            </w:pPr>
            <w:r>
              <w:rPr>
                <w:sz w:val="4"/>
                <w:szCs w:val="4"/>
              </w:rPr>
            </w:r>
          </w:p>
        </w:tc>
        <w:tc>
          <w:tcPr>
            <w:tcW w:w="2662" w:type="dxa"/>
            <w:gridSpan w:val="2"/>
            <w:tcBorders/>
            <w:vAlign w:val="center"/>
          </w:tcPr>
          <w:p>
            <w:pPr>
              <w:pStyle w:val="TableContents"/>
              <w:bidi w:val="0"/>
              <w:spacing w:before="0" w:after="283"/>
              <w:jc w:val="left"/>
              <w:rPr>
                <w:sz w:val="4"/>
                <w:szCs w:val="4"/>
              </w:rPr>
            </w:pPr>
            <w:r>
              <w:rPr>
                <w:sz w:val="4"/>
                <w:szCs w:val="4"/>
              </w:rPr>
            </w:r>
          </w:p>
        </w:tc>
        <w:tc>
          <w:tcPr>
            <w:tcW w:w="2356" w:type="dxa"/>
            <w:gridSpan w:val="2"/>
            <w:tcBorders/>
            <w:vAlign w:val="center"/>
          </w:tcPr>
          <w:p>
            <w:pPr>
              <w:pStyle w:val="TableContents"/>
              <w:bidi w:val="0"/>
              <w:spacing w:before="0" w:after="283"/>
              <w:jc w:val="left"/>
              <w:rPr>
                <w:sz w:val="4"/>
                <w:szCs w:val="4"/>
              </w:rPr>
            </w:pPr>
            <w:r>
              <w:rPr>
                <w:sz w:val="4"/>
                <w:szCs w:val="4"/>
              </w:rPr>
            </w:r>
          </w:p>
        </w:tc>
      </w:tr>
      <w:tr>
        <w:trPr/>
        <w:tc>
          <w:tcPr>
            <w:tcW w:w="2715" w:type="dxa"/>
            <w:tcBorders/>
          </w:tcPr>
          <w:p>
            <w:pPr>
              <w:pStyle w:val="TableContents"/>
              <w:bidi w:val="0"/>
              <w:spacing w:before="0" w:after="283"/>
              <w:jc w:val="left"/>
              <w:rPr/>
            </w:pPr>
            <w:r>
              <w:rPr/>
              <w:t>Expiration Date:</w:t>
            </w:r>
          </w:p>
        </w:tc>
        <w:tc>
          <w:tcPr>
            <w:tcW w:w="120" w:type="dxa"/>
            <w:tcBorders/>
            <w:vAlign w:val="bottom"/>
          </w:tcPr>
          <w:p>
            <w:pPr>
              <w:pStyle w:val="TableContents"/>
              <w:bidi w:val="0"/>
              <w:spacing w:before="0" w:after="283"/>
              <w:jc w:val="left"/>
              <w:rPr/>
            </w:pPr>
            <w:r>
              <w:rPr/>
              <w:t>  </w:t>
            </w:r>
          </w:p>
        </w:tc>
        <w:tc>
          <w:tcPr>
            <w:tcW w:w="235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542" w:type="dxa"/>
            <w:tcBorders/>
          </w:tcPr>
          <w:p>
            <w:pPr>
              <w:pStyle w:val="TableContents"/>
              <w:bidi w:val="0"/>
              <w:spacing w:before="0" w:after="283"/>
              <w:jc w:val="left"/>
              <w:rPr/>
            </w:pPr>
            <w:r>
              <w:rPr/>
              <w:t>(the “Expiration Date”)</w:t>
            </w:r>
          </w:p>
        </w:tc>
        <w:tc>
          <w:tcPr>
            <w:tcW w:w="120" w:type="dxa"/>
            <w:tcBorders/>
            <w:vAlign w:val="bottom"/>
          </w:tcPr>
          <w:p>
            <w:pPr>
              <w:pStyle w:val="TableContents"/>
              <w:bidi w:val="0"/>
              <w:spacing w:before="0" w:after="283"/>
              <w:jc w:val="left"/>
              <w:rPr/>
            </w:pPr>
            <w:r>
              <w:rPr/>
              <w:t>  </w:t>
            </w:r>
          </w:p>
        </w:tc>
        <w:tc>
          <w:tcPr>
            <w:tcW w:w="2236" w:type="dxa"/>
            <w:tcBorders/>
          </w:tcPr>
          <w:p>
            <w:pPr>
              <w:pStyle w:val="TableContents"/>
              <w:bidi w:val="0"/>
              <w:spacing w:before="0" w:after="283"/>
              <w:jc w:val="left"/>
              <w:rPr>
                <w:sz w:val="4"/>
                <w:szCs w:val="4"/>
              </w:rPr>
            </w:pPr>
            <w:r>
              <w:rPr>
                <w:sz w:val="4"/>
                <w:szCs w:val="4"/>
              </w:rPr>
            </w:r>
          </w:p>
        </w:tc>
      </w:tr>
      <w:tr>
        <w:trPr/>
        <w:tc>
          <w:tcPr>
            <w:tcW w:w="271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014" w:type="dxa"/>
            <w:gridSpan w:val="3"/>
            <w:tcBorders/>
          </w:tcPr>
          <w:p>
            <w:pPr>
              <w:pStyle w:val="TableContents"/>
              <w:bidi w:val="0"/>
              <w:spacing w:before="0" w:after="283"/>
              <w:jc w:val="left"/>
              <w:rPr>
                <w:b/>
              </w:rPr>
            </w:pPr>
            <w:r>
              <w:rPr>
                <w:b/>
              </w:rPr>
              <w:t>[up to 10 years (5 if a 10% owner)]</w:t>
            </w:r>
          </w:p>
        </w:tc>
        <w:tc>
          <w:tcPr>
            <w:tcW w:w="120" w:type="dxa"/>
            <w:tcBorders/>
            <w:vAlign w:val="bottom"/>
          </w:tcPr>
          <w:p>
            <w:pPr>
              <w:pStyle w:val="TableContents"/>
              <w:bidi w:val="0"/>
              <w:spacing w:before="0" w:after="283"/>
              <w:jc w:val="left"/>
              <w:rPr/>
            </w:pPr>
            <w:r>
              <w:rPr/>
              <w:t>  </w:t>
            </w:r>
          </w:p>
        </w:tc>
        <w:tc>
          <w:tcPr>
            <w:tcW w:w="2236"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Damora Therapeutics, Inc. 2020 Equity Incentive Plan as amended through the date hereof (the “Plan”), Damora Therapeutics, Inc. (the “Company”) hereby grants to the Grantee named above an option (the “Stock Option”) to purchase on or prior to the Expiration Date specified above all or part of the number of Ordinary Shares, par value $0.00001 per share (the “Shares”), of the Company specified above at the Option Exercise Price per Share specified above subject to the terms and conditions set forth herein and in the Plan.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Exercisability Schedule</w:t>
      </w:r>
      <w:r>
        <w:rPr>
          <w:rFonts w:ascii="Times New Roman" w:hAnsi="Times New Roman"/>
          <w:sz w:val="20"/>
        </w:rPr>
        <w:t xml:space="preserve">. No portion of this Stock Option may be exercised until such portion shall have become exercisable. Except as set forth below, and subject to the discretion of the Administrator (as defined in Section 1 of the Plan) to accelerate the exercisability schedule hereunder, this Stock Option shall be exercisable with respect to the following number of Option Shares on the dates indicated so long as the Grantee remains an employee of the Company or a Subsidiary on such dates: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951"/>
        <w:gridCol w:w="987"/>
        <w:gridCol w:w="970"/>
        <w:gridCol w:w="970"/>
        <w:gridCol w:w="61"/>
      </w:tblGrid>
      <w:tr>
        <w:trPr/>
        <w:tc>
          <w:tcPr>
            <w:tcW w:w="3951" w:type="dxa"/>
            <w:tcBorders/>
            <w:vAlign w:val="center"/>
          </w:tcPr>
          <w:p>
            <w:pPr>
              <w:pStyle w:val="TableContents"/>
              <w:bidi w:val="0"/>
              <w:spacing w:before="0" w:after="283"/>
              <w:jc w:val="left"/>
              <w:rPr>
                <w:sz w:val="4"/>
                <w:szCs w:val="4"/>
              </w:rPr>
            </w:pPr>
            <w:r>
              <w:rPr>
                <w:sz w:val="4"/>
                <w:szCs w:val="4"/>
              </w:rPr>
            </w:r>
          </w:p>
        </w:tc>
        <w:tc>
          <w:tcPr>
            <w:tcW w:w="987" w:type="dxa"/>
            <w:tcBorders/>
            <w:vAlign w:val="bottom"/>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c>
          <w:tcPr>
            <w:tcW w:w="3951"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Incremental Number of</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Option Shares Exercisable*</w:t>
            </w:r>
          </w:p>
        </w:tc>
        <w:tc>
          <w:tcPr>
            <w:tcW w:w="987" w:type="dxa"/>
            <w:tcBorders/>
            <w:vAlign w:val="bottom"/>
          </w:tcPr>
          <w:p>
            <w:pPr>
              <w:pStyle w:val="TableContents"/>
              <w:bidi w:val="0"/>
              <w:spacing w:before="0" w:after="283"/>
              <w:jc w:val="left"/>
              <w:rPr/>
            </w:pPr>
            <w:r>
              <w:rPr/>
              <w:t>  </w:t>
            </w:r>
          </w:p>
        </w:tc>
        <w:tc>
          <w:tcPr>
            <w:tcW w:w="1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Exercisability Date</w:t>
            </w:r>
          </w:p>
        </w:tc>
        <w:tc>
          <w:tcPr>
            <w:tcW w:w="61" w:type="dxa"/>
            <w:tcBorders/>
            <w:vAlign w:val="bottom"/>
          </w:tcPr>
          <w:p>
            <w:pPr>
              <w:pStyle w:val="TableContents"/>
              <w:bidi w:val="0"/>
              <w:spacing w:before="0" w:after="283"/>
              <w:jc w:val="left"/>
              <w:rPr/>
            </w:pPr>
            <w:r>
              <w:rPr/>
              <w:t> </w:t>
            </w:r>
          </w:p>
        </w:tc>
      </w:tr>
      <w:tr>
        <w:trPr/>
        <w:tc>
          <w:tcPr>
            <w:tcW w:w="39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_____________ (___%)</w:t>
            </w:r>
          </w:p>
        </w:tc>
        <w:tc>
          <w:tcPr>
            <w:tcW w:w="987"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left"/>
              <w:rPr>
                <w:sz w:val="4"/>
                <w:szCs w:val="4"/>
              </w:rPr>
            </w:pPr>
            <w:r>
              <w:rPr>
                <w:sz w:val="4"/>
                <w:szCs w:val="4"/>
              </w:rPr>
            </w:r>
          </w:p>
        </w:tc>
        <w:tc>
          <w:tcPr>
            <w:tcW w:w="970"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r>
        <w:trPr/>
        <w:tc>
          <w:tcPr>
            <w:tcW w:w="3951" w:type="dxa"/>
            <w:tcBorders/>
          </w:tcPr>
          <w:p>
            <w:pPr>
              <w:pStyle w:val="TableContents"/>
              <w:bidi w:val="0"/>
              <w:spacing w:before="0" w:after="0"/>
              <w:jc w:val="left"/>
              <w:rPr>
                <w:rFonts w:ascii="Times New Roman" w:hAnsi="Times New Roman"/>
                <w:sz w:val="20"/>
              </w:rPr>
            </w:pPr>
            <w:r>
              <w:rPr>
                <w:rFonts w:ascii="Times New Roman" w:hAnsi="Times New Roman"/>
                <w:sz w:val="20"/>
              </w:rPr>
              <w:t>_____________ (___%)</w:t>
            </w:r>
          </w:p>
        </w:tc>
        <w:tc>
          <w:tcPr>
            <w:tcW w:w="987"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left"/>
              <w:rPr>
                <w:sz w:val="4"/>
                <w:szCs w:val="4"/>
              </w:rPr>
            </w:pPr>
            <w:r>
              <w:rPr>
                <w:sz w:val="4"/>
                <w:szCs w:val="4"/>
              </w:rPr>
            </w:r>
          </w:p>
        </w:tc>
        <w:tc>
          <w:tcPr>
            <w:tcW w:w="970"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r>
      <w:tr>
        <w:trPr/>
        <w:tc>
          <w:tcPr>
            <w:tcW w:w="39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_____________ (___%)</w:t>
            </w:r>
          </w:p>
        </w:tc>
        <w:tc>
          <w:tcPr>
            <w:tcW w:w="987"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left"/>
              <w:rPr>
                <w:sz w:val="4"/>
                <w:szCs w:val="4"/>
              </w:rPr>
            </w:pPr>
            <w:r>
              <w:rPr>
                <w:sz w:val="4"/>
                <w:szCs w:val="4"/>
              </w:rPr>
            </w:r>
          </w:p>
        </w:tc>
        <w:tc>
          <w:tcPr>
            <w:tcW w:w="970"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r>
        <w:trPr/>
        <w:tc>
          <w:tcPr>
            <w:tcW w:w="3951" w:type="dxa"/>
            <w:tcBorders/>
          </w:tcPr>
          <w:p>
            <w:pPr>
              <w:pStyle w:val="TableContents"/>
              <w:bidi w:val="0"/>
              <w:spacing w:before="0" w:after="0"/>
              <w:jc w:val="left"/>
              <w:rPr>
                <w:rFonts w:ascii="Times New Roman" w:hAnsi="Times New Roman"/>
                <w:sz w:val="20"/>
              </w:rPr>
            </w:pPr>
            <w:r>
              <w:rPr>
                <w:rFonts w:ascii="Times New Roman" w:hAnsi="Times New Roman"/>
                <w:sz w:val="20"/>
              </w:rPr>
              <w:t>_____________ (___%)</w:t>
            </w:r>
          </w:p>
        </w:tc>
        <w:tc>
          <w:tcPr>
            <w:tcW w:w="987"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left"/>
              <w:rPr>
                <w:sz w:val="4"/>
                <w:szCs w:val="4"/>
              </w:rPr>
            </w:pPr>
            <w:r>
              <w:rPr>
                <w:sz w:val="4"/>
                <w:szCs w:val="4"/>
              </w:rPr>
            </w:r>
          </w:p>
        </w:tc>
        <w:tc>
          <w:tcPr>
            <w:tcW w:w="970"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r>
      <w:tr>
        <w:trPr/>
        <w:tc>
          <w:tcPr>
            <w:tcW w:w="39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_____________ (___%)</w:t>
            </w:r>
          </w:p>
        </w:tc>
        <w:tc>
          <w:tcPr>
            <w:tcW w:w="987"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left"/>
              <w:rPr>
                <w:sz w:val="4"/>
                <w:szCs w:val="4"/>
              </w:rPr>
            </w:pPr>
            <w:r>
              <w:rPr>
                <w:sz w:val="4"/>
                <w:szCs w:val="4"/>
              </w:rPr>
            </w:r>
          </w:p>
        </w:tc>
        <w:tc>
          <w:tcPr>
            <w:tcW w:w="970"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Maximum of $100,000 per year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Once exercisable, this Stock Option shall continue to be exercisable at any time or times prior to the close of business on the Expiration Date, subject to the provisions hereof and of the Plan.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Manner of Exercise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Grantee may exercise this Stock Option only in the following manner: from time to time on or prior to the Expiration Date of this Stock Option, the Grantee may give written notice to the Administrator of his or her election to purchase some or all of the Option Shares purchasable at the time of such notice. This notice shall specify the number of Option Shares to be purchased. </w:t>
      </w:r>
    </w:p>
    <w:p>
      <w:pPr>
        <w:pStyle w:val="TextBody"/>
        <w:bidi w:val="0"/>
        <w:spacing w:before="240" w:after="0"/>
        <w:jc w:val="left"/>
        <w:rPr>
          <w:rFonts w:ascii="Times New Roman" w:hAnsi="Times New Roman"/>
          <w:sz w:val="20"/>
        </w:rPr>
      </w:pPr>
      <w:r>
        <w:rPr>
          <w:rFonts w:ascii="Times New Roman" w:hAnsi="Times New Roman"/>
          <w:sz w:val="20"/>
        </w:rPr>
        <w:t xml:space="preserve">Payment of the purchase price for the Option Shares may be made by one or more of the following methods: (i) in cash, by certified or bank check or other instrument acceptable to the Administrator; (ii) through the delivery (or attestation to the ownership) of Shares that have been purchased by the Grantee on the open market or that are beneficially owned by the Grantee and are not then subject to any restrictions under any Company plan and that otherwise satisfy any holding periods as may be required by the Administrator; or (iii) by the Grantee delivering to the Company a properly executed exercise notice together with irrevocable instructions to a broker to promptly deliver to the Company cash or a check payable and acceptable to the Company to pay the option purchase price,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provided that in the event the Grantee chooses to pay the option purchase price as so provided, the Grantee and the broker shall comply with such procedures and enter into such agreements of indemnity and other agreements as the Administrator shall prescribe as a condition of such payment procedure; or (iv) a combination of (i), (ii) and (iii) above. Payment instruments will be received subject to collection. </w:t>
      </w:r>
    </w:p>
    <w:p>
      <w:pPr>
        <w:pStyle w:val="TextBody"/>
        <w:bidi w:val="0"/>
        <w:spacing w:before="240" w:after="0"/>
        <w:jc w:val="left"/>
        <w:rPr>
          <w:rFonts w:ascii="Times New Roman" w:hAnsi="Times New Roman"/>
          <w:sz w:val="20"/>
        </w:rPr>
      </w:pPr>
      <w:r>
        <w:rPr>
          <w:rFonts w:ascii="Times New Roman" w:hAnsi="Times New Roman"/>
          <w:sz w:val="20"/>
        </w:rPr>
        <w:t xml:space="preserve">The transfer to the Grantee on the records of the Company or of the transfer agent of the Option Shares will be contingent upon (i) the Company’s receipt from the Grantee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Shares to be purchased pursuant to the exercise of Stock Options under the Plan and any subsequent resale of the Shares will be in compliance with applicable laws and regulations. In the event the Grantee chooses to pay the purchase price by previously-owned Shares through the attestation method, the number of Shares transferred to the Grantee upon the exercise of the Stock Option shall be net of the Shares attested to. </w:t>
      </w:r>
    </w:p>
    <w:p>
      <w:pPr>
        <w:pStyle w:val="TextBody"/>
        <w:bidi w:val="0"/>
        <w:spacing w:before="240" w:after="0"/>
        <w:jc w:val="left"/>
        <w:rPr>
          <w:rFonts w:ascii="Times New Roman" w:hAnsi="Times New Roman"/>
          <w:sz w:val="20"/>
        </w:rPr>
      </w:pPr>
      <w:r>
        <w:rPr>
          <w:rFonts w:ascii="Times New Roman" w:hAnsi="Times New Roman"/>
          <w:sz w:val="20"/>
        </w:rPr>
        <w:t xml:space="preserve">(b) The Shares purchased upon exercise of this Stock Option shall be transferred to the Grantee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Grantee. The Grantee shall not be deemed to be the holder of, or to have any of the rights of a holder with respect to, any Shares subject to this Stock Option unless and until this Stock Option shall have been exercised pursuant to the terms hereof, the Company or the transfer agent shall have transferred the shares to the Grantee, and the Grantee’s name shall have been entered as the shareholder of record in the register of members of the Company. Thereupon, the Grantee shall have full voting, dividend and other ownership rights with respect to such Shares. </w:t>
      </w:r>
    </w:p>
    <w:p>
      <w:pPr>
        <w:pStyle w:val="TextBody"/>
        <w:bidi w:val="0"/>
        <w:spacing w:before="240" w:after="0"/>
        <w:jc w:val="left"/>
        <w:rPr>
          <w:rFonts w:ascii="Times New Roman" w:hAnsi="Times New Roman"/>
          <w:sz w:val="20"/>
        </w:rPr>
      </w:pPr>
      <w:r>
        <w:rPr>
          <w:rFonts w:ascii="Times New Roman" w:hAnsi="Times New Roman"/>
          <w:sz w:val="20"/>
        </w:rPr>
        <w:t xml:space="preserve">(c) 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 other provision hereof or of the Plan, no portion of this Stock Option shall be exercisable after the Expiration Date hereof.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Termination of Service Relationship</w:t>
      </w:r>
      <w:r>
        <w:rPr>
          <w:rFonts w:ascii="Times New Roman" w:hAnsi="Times New Roman"/>
          <w:sz w:val="20"/>
        </w:rPr>
        <w:t xml:space="preserve">. If the Grantee’s Service Relationship ceases, the period within which to exercise the Stock Option may be subject to earlier termination as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Termination Due to Death</w:t>
      </w:r>
      <w:r>
        <w:rPr>
          <w:rFonts w:ascii="Times New Roman" w:hAnsi="Times New Roman"/>
          <w:sz w:val="20"/>
        </w:rPr>
        <w:t xml:space="preserve">. If the Grantee’s Service Relationship ceases by reason of the Grantee’s death, any portion of this Stock Option outstanding on such date, to the extent exercisable on the date of death, may thereafter be exercised by the Grantee’s legal representative or legatee for a period of 12 months from the date of death or until the Expiration Date, if earlier. Any portion of this Stock Option that is not exercisable on the date of death shall terminate immediately and be of no further force or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Termination Due to Disability</w:t>
      </w:r>
      <w:r>
        <w:rPr>
          <w:rFonts w:ascii="Times New Roman" w:hAnsi="Times New Roman"/>
          <w:sz w:val="20"/>
        </w:rPr>
        <w:t xml:space="preserve">. If the Grantee’s Service Relationship ceases by reason of the Grantee’s disability (as reasonably determined by the Administrator in accordance with Section 409A and applicable law), any portion of this Stock Option outstanding on such date, to the extent exercisable on the date of such termination of employment, may thereafter be exercised by the Grantee for a period of 12 months from the date of disability or until the Expiration Date, if earlier. Any portion of this Stock Option that is not exercisable on the date of disability shall terminate immediately and be of no further force or effect.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Termination for Cause</w:t>
      </w:r>
      <w:r>
        <w:rPr>
          <w:rFonts w:ascii="Times New Roman" w:hAnsi="Times New Roman"/>
          <w:sz w:val="20"/>
        </w:rPr>
        <w:t xml:space="preserve">. If the Grantee’s Service Relationship ceases for Cause, any portion of this Stock Option outstanding on such date shall terminate immediately and be of no further force and effect. For purposes hereof, “Cause” shall mean, unless otherwise provided in an employment agreement between the Company and the Grantee, a determination by the Administrator that the Grantee shall be dismissed as a result of (i) any material breach by the Grantee of any agreement between the Grantee and the Company; (ii) the conviction of, indictment for or plea of nolo contendere by the Grantee to a felony or a crime involving moral turpitude; or (iii) any material misconduct or willful and deliberate non-performance (other than by reason of disability) by the Grantee of the Grantee’s duties to the Company.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Other Termination</w:t>
      </w:r>
      <w:r>
        <w:rPr>
          <w:rFonts w:ascii="Times New Roman" w:hAnsi="Times New Roman"/>
          <w:sz w:val="20"/>
        </w:rPr>
        <w:t xml:space="preserve">. If the Grantee’s Service Relationship ceases for any reason other than the Grantee’s death, the Grantee’s disability, or Cause, and unless otherwise determined by the Administrator, any portion of this Stock Option outstanding on such date may be exercised, to the extent exercisable on the date of termination, for a period of three months from the date of termination or until the Expiration Date, if earlier. Any portion of this Stock Option that is not exercisable on the date of termination shall terminate immediately and be of no further force or effect. The Administrator’s determination of the reason for termination of the Grantee’s employment shall be conclusive and binding on the Grantee and his or her representatives or legatees.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Incorporation of Plan</w:t>
      </w:r>
      <w:r>
        <w:rPr>
          <w:rFonts w:ascii="Times New Roman" w:hAnsi="Times New Roman"/>
          <w:sz w:val="20"/>
        </w:rPr>
        <w:t xml:space="preserve">.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Transferability</w:t>
      </w:r>
      <w:r>
        <w:rPr>
          <w:rFonts w:ascii="Times New Roman" w:hAnsi="Times New Roman"/>
          <w:sz w:val="20"/>
        </w:rPr>
        <w:t xml:space="preserve">. This Agreement is personal to the Grantee, is non-assignable and is not transferable in any manner, by operation of law or otherwise, other than by will or the laws of descent and distribution. This Stock Option is exercisable, during the Grantee’s lifetime, only by the Grantee, and thereafter, only by the Grantee’s legal representative or legatee.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Status of the Stock Option</w:t>
      </w:r>
      <w:r>
        <w:rPr>
          <w:rFonts w:ascii="Times New Roman" w:hAnsi="Times New Roman"/>
          <w:sz w:val="20"/>
        </w:rPr>
        <w:t xml:space="preserve">. This Stock Option is intended to qualify as an “incentive stock option” under Section 422 of the Internal Revenue Code of 1986, as amended (the “Code”), but the Company does not represent or warrant that this Stock Option qualifies as such. The Grantee should consult with his or her own tax advisors regarding the tax effects of this Stock Option and the requirements necessary to obtain favorable income tax treatment under Section 422 of the Code, including, but not limited to, holding period requirements. To the extent any portion of this Stock Option does not so qualify as an “incentive stock option,” such portion shall be deemed to be a non-qualified stock option. If the Grantee intends to dispose or does dispose (whether by sale, gift, transfer or otherwise) of any Option Shares within the one-year period beginning on the date after the transfer of such shares to him or her, or within the two-year period beginning on the day after the grant of this Stock Option, he or she will so notify the Company within 30 days after such disposition.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Tax Withholding</w:t>
      </w:r>
      <w:r>
        <w:rPr>
          <w:rFonts w:ascii="Times New Roman" w:hAnsi="Times New Roman"/>
          <w:sz w:val="20"/>
        </w:rPr>
        <w:t xml:space="preserve">. The Grantee shall, not later than the date as of which the exercise of this Stock Option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minimum required tax withholding obligation to be satisfied, in whole or in part, by withholding from Shares to be issued to the Grantee a number of Shares with an aggregate Fair Market Value that would satisfy the minimum withholding amount due.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No Obligation to Continue Service Relationship</w:t>
      </w:r>
      <w:r>
        <w:rPr>
          <w:rFonts w:ascii="Times New Roman" w:hAnsi="Times New Roman"/>
          <w:sz w:val="20"/>
        </w:rPr>
        <w:t xml:space="preserve">. Neither the Company nor any Subsidiary is obligated by or as a result of the Plan or this Agreement to continue the Grantee in employment and neither the Plan nor this Agreement shall interfere in any way with the right of the Company or any Subsidiary to terminate the Service Relationship of the Grantee at any time.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Integration</w:t>
      </w:r>
      <w:r>
        <w:rPr>
          <w:rFonts w:ascii="Times New Roman" w:hAnsi="Times New Roman"/>
          <w:sz w:val="20"/>
        </w:rPr>
        <w:t xml:space="preserve">. This Agreement constitutes the entire agreement between the parties with respect to this Stock Option and supersedes all prior agreements and discussions between the parties concerning such subject matter.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Data Privacy Consent</w:t>
      </w:r>
      <w:r>
        <w:rPr>
          <w:rFonts w:ascii="Times New Roman" w:hAnsi="Times New Roman"/>
          <w:sz w:val="20"/>
        </w:rPr>
        <w:t xml:space="preserve">.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Notices</w:t>
      </w:r>
      <w:r>
        <w:rPr>
          <w:rFonts w:ascii="Times New Roman" w:hAnsi="Times New Roman"/>
          <w:sz w:val="20"/>
        </w:rPr>
        <w:t xml:space="preserve">.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99"/>
        <w:gridCol w:w="148"/>
        <w:gridCol w:w="3135"/>
      </w:tblGrid>
      <w:tr>
        <w:trPr/>
        <w:tc>
          <w:tcPr>
            <w:tcW w:w="799"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313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DAMORA THERAPEUTICS, INC.</w:t>
            </w:r>
          </w:p>
        </w:tc>
      </w:tr>
      <w:tr>
        <w:trPr>
          <w:trHeight w:val="240" w:hRule="atLeast"/>
        </w:trPr>
        <w:tc>
          <w:tcPr>
            <w:tcW w:w="799" w:type="dxa"/>
            <w:tcBorders/>
            <w:vAlign w:val="center"/>
          </w:tcPr>
          <w:p>
            <w:pPr>
              <w:pStyle w:val="TableContents"/>
              <w:bidi w:val="0"/>
              <w:spacing w:before="0" w:after="283"/>
              <w:jc w:val="left"/>
              <w:rPr>
                <w:sz w:val="4"/>
                <w:szCs w:val="4"/>
              </w:rPr>
            </w:pPr>
            <w:r>
              <w:rPr>
                <w:sz w:val="4"/>
                <w:szCs w:val="4"/>
              </w:rPr>
            </w:r>
          </w:p>
        </w:tc>
        <w:tc>
          <w:tcPr>
            <w:tcW w:w="3283" w:type="dxa"/>
            <w:gridSpan w:val="2"/>
            <w:tcBorders/>
            <w:vAlign w:val="center"/>
          </w:tcPr>
          <w:p>
            <w:pPr>
              <w:pStyle w:val="TableContents"/>
              <w:bidi w:val="0"/>
              <w:spacing w:before="0" w:after="283"/>
              <w:jc w:val="left"/>
              <w:rPr>
                <w:sz w:val="4"/>
                <w:szCs w:val="4"/>
              </w:rPr>
            </w:pPr>
            <w:r>
              <w:rPr>
                <w:sz w:val="4"/>
                <w:szCs w:val="4"/>
              </w:rPr>
            </w:r>
          </w:p>
        </w:tc>
      </w:tr>
      <w:tr>
        <w:trPr/>
        <w:tc>
          <w:tcPr>
            <w:tcW w:w="799" w:type="dxa"/>
            <w:tcBorders/>
          </w:tcPr>
          <w:p>
            <w:pPr>
              <w:pStyle w:val="TableContents"/>
              <w:bidi w:val="0"/>
              <w:spacing w:before="0" w:after="283"/>
              <w:jc w:val="left"/>
              <w:rPr/>
            </w:pPr>
            <w:r>
              <w:rPr/>
              <w:t>By:</w:t>
            </w:r>
          </w:p>
        </w:tc>
        <w:tc>
          <w:tcPr>
            <w:tcW w:w="148" w:type="dxa"/>
            <w:tcBorders/>
            <w:vAlign w:val="bottom"/>
          </w:tcPr>
          <w:p>
            <w:pPr>
              <w:pStyle w:val="TableContents"/>
              <w:bidi w:val="0"/>
              <w:spacing w:before="0" w:after="283"/>
              <w:jc w:val="left"/>
              <w:rPr/>
            </w:pPr>
            <w:r>
              <w:rPr/>
              <w:t> </w:t>
            </w:r>
          </w:p>
        </w:tc>
        <w:tc>
          <w:tcPr>
            <w:tcW w:w="3135" w:type="dxa"/>
            <w:tcBorders/>
          </w:tcPr>
          <w:p>
            <w:pPr>
              <w:pStyle w:val="TableContents"/>
              <w:pBdr>
                <w:bottom w:val="single" w:sz="2" w:space="1" w:color="000000"/>
              </w:pBdr>
              <w:bidi w:val="0"/>
              <w:spacing w:before="0" w:after="20"/>
              <w:jc w:val="left"/>
              <w:rPr/>
            </w:pPr>
            <w:r>
              <w:rPr/>
              <w:t> </w:t>
            </w:r>
          </w:p>
        </w:tc>
      </w:tr>
      <w:tr>
        <w:trPr/>
        <w:tc>
          <w:tcPr>
            <w:tcW w:w="799"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3135" w:type="dxa"/>
            <w:tcBorders/>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Agreement is hereby accepted and the terms and conditions thereof hereby agreed to by the undersigned. Electronic acceptance of this Agreement pursuant to the Company’s instructions to the Grantee (including through an online acceptance process) is acceptable.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48"/>
        <w:gridCol w:w="124"/>
        <w:gridCol w:w="4933"/>
      </w:tblGrid>
      <w:tr>
        <w:trPr/>
        <w:tc>
          <w:tcPr>
            <w:tcW w:w="5148"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4933" w:type="dxa"/>
            <w:tcBorders/>
            <w:vAlign w:val="center"/>
          </w:tcPr>
          <w:p>
            <w:pPr>
              <w:pStyle w:val="TableContents"/>
              <w:bidi w:val="0"/>
              <w:spacing w:before="0" w:after="283"/>
              <w:jc w:val="left"/>
              <w:rPr>
                <w:sz w:val="4"/>
                <w:szCs w:val="4"/>
              </w:rPr>
            </w:pPr>
            <w:r>
              <w:rPr>
                <w:sz w:val="4"/>
                <w:szCs w:val="4"/>
              </w:rPr>
            </w:r>
          </w:p>
        </w:tc>
      </w:tr>
      <w:tr>
        <w:trPr/>
        <w:tc>
          <w:tcPr>
            <w:tcW w:w="5148" w:type="dxa"/>
            <w:tcBorders/>
          </w:tcPr>
          <w:p>
            <w:pPr>
              <w:pStyle w:val="TableContents"/>
              <w:bidi w:val="0"/>
              <w:spacing w:before="0" w:after="283"/>
              <w:jc w:val="left"/>
              <w:rPr/>
            </w:pPr>
            <w:r>
              <w:rPr/>
              <w:t>Dated:</w:t>
            </w:r>
          </w:p>
        </w:tc>
        <w:tc>
          <w:tcPr>
            <w:tcW w:w="124" w:type="dxa"/>
            <w:tcBorders/>
            <w:vAlign w:val="bottom"/>
          </w:tcPr>
          <w:p>
            <w:pPr>
              <w:pStyle w:val="TableContents"/>
              <w:bidi w:val="0"/>
              <w:spacing w:before="0" w:after="283"/>
              <w:jc w:val="left"/>
              <w:rPr/>
            </w:pPr>
            <w:r>
              <w:rPr/>
              <w:t>  </w:t>
            </w:r>
          </w:p>
        </w:tc>
        <w:tc>
          <w:tcPr>
            <w:tcW w:w="4933" w:type="dxa"/>
            <w:tcBorders/>
          </w:tcPr>
          <w:p>
            <w:pPr>
              <w:pStyle w:val="TableContents"/>
              <w:pBdr>
                <w:bottom w:val="single" w:sz="2" w:space="1" w:color="000000"/>
              </w:pBdr>
              <w:bidi w:val="0"/>
              <w:spacing w:before="0" w:after="20"/>
              <w:jc w:val="left"/>
              <w:rPr/>
            </w:pPr>
            <w:r>
              <w:rPr/>
              <w:t> </w:t>
            </w:r>
          </w:p>
        </w:tc>
      </w:tr>
      <w:tr>
        <w:trPr/>
        <w:tc>
          <w:tcPr>
            <w:tcW w:w="5148"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4933" w:type="dxa"/>
            <w:tcBorders/>
          </w:tcPr>
          <w:p>
            <w:pPr>
              <w:pStyle w:val="TableContents"/>
              <w:bidi w:val="0"/>
              <w:spacing w:before="0" w:after="283"/>
              <w:jc w:val="left"/>
              <w:rPr/>
            </w:pPr>
            <w:r>
              <w:rPr/>
              <w:t>Grantee’s Signature</w:t>
            </w:r>
          </w:p>
        </w:tc>
      </w:tr>
      <w:tr>
        <w:trPr>
          <w:trHeight w:val="240" w:hRule="atLeast"/>
        </w:trPr>
        <w:tc>
          <w:tcPr>
            <w:tcW w:w="5148" w:type="dxa"/>
            <w:tcBorders/>
            <w:vAlign w:val="center"/>
          </w:tcPr>
          <w:p>
            <w:pPr>
              <w:pStyle w:val="TableContents"/>
              <w:bidi w:val="0"/>
              <w:spacing w:before="0" w:after="283"/>
              <w:jc w:val="left"/>
              <w:rPr>
                <w:sz w:val="4"/>
                <w:szCs w:val="4"/>
              </w:rPr>
            </w:pPr>
            <w:r>
              <w:rPr>
                <w:sz w:val="4"/>
                <w:szCs w:val="4"/>
              </w:rPr>
            </w:r>
          </w:p>
        </w:tc>
        <w:tc>
          <w:tcPr>
            <w:tcW w:w="5057" w:type="dxa"/>
            <w:gridSpan w:val="2"/>
            <w:tcBorders/>
            <w:vAlign w:val="center"/>
          </w:tcPr>
          <w:p>
            <w:pPr>
              <w:pStyle w:val="TableContents"/>
              <w:bidi w:val="0"/>
              <w:spacing w:before="0" w:after="283"/>
              <w:jc w:val="left"/>
              <w:rPr>
                <w:sz w:val="4"/>
                <w:szCs w:val="4"/>
              </w:rPr>
            </w:pPr>
            <w:r>
              <w:rPr>
                <w:sz w:val="4"/>
                <w:szCs w:val="4"/>
              </w:rPr>
            </w:r>
          </w:p>
        </w:tc>
      </w:tr>
      <w:tr>
        <w:trPr/>
        <w:tc>
          <w:tcPr>
            <w:tcW w:w="5148"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4933" w:type="dxa"/>
            <w:tcBorders/>
          </w:tcPr>
          <w:p>
            <w:pPr>
              <w:pStyle w:val="TableContents"/>
              <w:bidi w:val="0"/>
              <w:spacing w:before="0" w:after="283"/>
              <w:jc w:val="left"/>
              <w:rPr/>
            </w:pPr>
            <w:r>
              <w:rPr/>
              <w:t>Grantee’s name and address:</w:t>
            </w:r>
          </w:p>
        </w:tc>
      </w:tr>
      <w:tr>
        <w:trPr>
          <w:trHeight w:val="240" w:hRule="atLeast"/>
        </w:trPr>
        <w:tc>
          <w:tcPr>
            <w:tcW w:w="5148" w:type="dxa"/>
            <w:tcBorders/>
            <w:vAlign w:val="center"/>
          </w:tcPr>
          <w:p>
            <w:pPr>
              <w:pStyle w:val="TableContents"/>
              <w:bidi w:val="0"/>
              <w:spacing w:before="0" w:after="283"/>
              <w:jc w:val="left"/>
              <w:rPr>
                <w:sz w:val="4"/>
                <w:szCs w:val="4"/>
              </w:rPr>
            </w:pPr>
            <w:r>
              <w:rPr>
                <w:sz w:val="4"/>
                <w:szCs w:val="4"/>
              </w:rPr>
            </w:r>
          </w:p>
        </w:tc>
        <w:tc>
          <w:tcPr>
            <w:tcW w:w="5057" w:type="dxa"/>
            <w:gridSpan w:val="2"/>
            <w:tcBorders/>
            <w:vAlign w:val="center"/>
          </w:tcPr>
          <w:p>
            <w:pPr>
              <w:pStyle w:val="TableContents"/>
              <w:bidi w:val="0"/>
              <w:spacing w:before="0" w:after="283"/>
              <w:jc w:val="left"/>
              <w:rPr>
                <w:sz w:val="4"/>
                <w:szCs w:val="4"/>
              </w:rPr>
            </w:pPr>
            <w:r>
              <w:rPr>
                <w:sz w:val="4"/>
                <w:szCs w:val="4"/>
              </w:rPr>
            </w:r>
          </w:p>
        </w:tc>
      </w:tr>
      <w:tr>
        <w:trPr/>
        <w:tc>
          <w:tcPr>
            <w:tcW w:w="5148"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4933" w:type="dxa"/>
            <w:tcBorders/>
          </w:tcPr>
          <w:p>
            <w:pPr>
              <w:pStyle w:val="TableContents"/>
              <w:pBdr>
                <w:bottom w:val="single" w:sz="2" w:space="1" w:color="000000"/>
              </w:pBdr>
              <w:bidi w:val="0"/>
              <w:spacing w:before="0" w:after="20"/>
              <w:jc w:val="left"/>
              <w:rPr/>
            </w:pPr>
            <w:r>
              <w:rPr/>
              <w:t> </w:t>
            </w:r>
          </w:p>
        </w:tc>
      </w:tr>
      <w:tr>
        <w:trPr>
          <w:trHeight w:val="240" w:hRule="atLeast"/>
        </w:trPr>
        <w:tc>
          <w:tcPr>
            <w:tcW w:w="5148" w:type="dxa"/>
            <w:tcBorders/>
            <w:vAlign w:val="center"/>
          </w:tcPr>
          <w:p>
            <w:pPr>
              <w:pStyle w:val="TableContents"/>
              <w:bidi w:val="0"/>
              <w:spacing w:before="0" w:after="283"/>
              <w:jc w:val="left"/>
              <w:rPr>
                <w:sz w:val="4"/>
                <w:szCs w:val="4"/>
              </w:rPr>
            </w:pPr>
            <w:r>
              <w:rPr>
                <w:sz w:val="4"/>
                <w:szCs w:val="4"/>
              </w:rPr>
            </w:r>
          </w:p>
        </w:tc>
        <w:tc>
          <w:tcPr>
            <w:tcW w:w="5057" w:type="dxa"/>
            <w:gridSpan w:val="2"/>
            <w:tcBorders/>
            <w:vAlign w:val="center"/>
          </w:tcPr>
          <w:p>
            <w:pPr>
              <w:pStyle w:val="TableContents"/>
              <w:bidi w:val="0"/>
              <w:spacing w:before="0" w:after="283"/>
              <w:jc w:val="left"/>
              <w:rPr>
                <w:sz w:val="4"/>
                <w:szCs w:val="4"/>
              </w:rPr>
            </w:pPr>
            <w:r>
              <w:rPr>
                <w:sz w:val="4"/>
                <w:szCs w:val="4"/>
              </w:rPr>
            </w:r>
          </w:p>
        </w:tc>
      </w:tr>
      <w:tr>
        <w:trPr/>
        <w:tc>
          <w:tcPr>
            <w:tcW w:w="5148"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4933" w:type="dxa"/>
            <w:tcBorders/>
          </w:tcPr>
          <w:p>
            <w:pPr>
              <w:pStyle w:val="TableContents"/>
              <w:pBdr>
                <w:bottom w:val="single" w:sz="2" w:space="1" w:color="000000"/>
              </w:pBdr>
              <w:bidi w:val="0"/>
              <w:spacing w:before="0" w:after="20"/>
              <w:jc w:val="left"/>
              <w:rPr/>
            </w:pPr>
            <w:r>
              <w:rPr/>
              <w:t> </w:t>
            </w:r>
          </w:p>
        </w:tc>
      </w:tr>
      <w:tr>
        <w:trPr>
          <w:trHeight w:val="240" w:hRule="atLeast"/>
        </w:trPr>
        <w:tc>
          <w:tcPr>
            <w:tcW w:w="5148" w:type="dxa"/>
            <w:tcBorders/>
            <w:vAlign w:val="center"/>
          </w:tcPr>
          <w:p>
            <w:pPr>
              <w:pStyle w:val="TableContents"/>
              <w:bidi w:val="0"/>
              <w:spacing w:before="0" w:after="283"/>
              <w:jc w:val="left"/>
              <w:rPr>
                <w:sz w:val="4"/>
                <w:szCs w:val="4"/>
              </w:rPr>
            </w:pPr>
            <w:r>
              <w:rPr>
                <w:sz w:val="4"/>
                <w:szCs w:val="4"/>
              </w:rPr>
            </w:r>
          </w:p>
        </w:tc>
        <w:tc>
          <w:tcPr>
            <w:tcW w:w="5057" w:type="dxa"/>
            <w:gridSpan w:val="2"/>
            <w:tcBorders/>
            <w:vAlign w:val="center"/>
          </w:tcPr>
          <w:p>
            <w:pPr>
              <w:pStyle w:val="TableContents"/>
              <w:bidi w:val="0"/>
              <w:spacing w:before="0" w:after="283"/>
              <w:jc w:val="left"/>
              <w:rPr>
                <w:sz w:val="4"/>
                <w:szCs w:val="4"/>
              </w:rPr>
            </w:pPr>
            <w:r>
              <w:rPr>
                <w:sz w:val="4"/>
                <w:szCs w:val="4"/>
              </w:rPr>
            </w:r>
          </w:p>
        </w:tc>
      </w:tr>
      <w:tr>
        <w:trPr/>
        <w:tc>
          <w:tcPr>
            <w:tcW w:w="5148"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4933" w:type="dxa"/>
            <w:tcBorders/>
          </w:tcPr>
          <w:p>
            <w:pPr>
              <w:pStyle w:val="TableContents"/>
              <w:pBdr>
                <w:bottom w:val="single" w:sz="2" w:space="1" w:color="000000"/>
              </w:pBdr>
              <w:bidi w:val="0"/>
              <w:spacing w:before="0" w:after="20"/>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NON-QUALIFIED STOCK OPTION AGREEMENT </w:t>
      </w:r>
    </w:p>
    <w:p>
      <w:pPr>
        <w:pStyle w:val="TextBody"/>
        <w:bidi w:val="0"/>
        <w:spacing w:before="0" w:after="0"/>
        <w:jc w:val="center"/>
        <w:rPr>
          <w:rFonts w:ascii="Times New Roman" w:hAnsi="Times New Roman"/>
          <w:b/>
          <w:sz w:val="20"/>
        </w:rPr>
      </w:pPr>
      <w:r>
        <w:rPr>
          <w:rFonts w:ascii="Times New Roman" w:hAnsi="Times New Roman"/>
          <w:b/>
          <w:sz w:val="20"/>
        </w:rPr>
        <w:t xml:space="preserve">FOR COMPANY EMPLOYEES AND CONSULTANTS </w:t>
      </w:r>
    </w:p>
    <w:p>
      <w:pPr>
        <w:pStyle w:val="TextBody"/>
        <w:bidi w:val="0"/>
        <w:spacing w:before="0" w:after="0"/>
        <w:jc w:val="center"/>
        <w:rPr>
          <w:rFonts w:ascii="Times New Roman" w:hAnsi="Times New Roman"/>
          <w:b/>
          <w:sz w:val="20"/>
        </w:rPr>
      </w:pPr>
      <w:r>
        <w:rPr>
          <w:rFonts w:ascii="Times New Roman" w:hAnsi="Times New Roman"/>
          <w:b/>
          <w:sz w:val="20"/>
        </w:rPr>
        <w:t xml:space="preserve">UNDER DAMORA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2020 EQUITY INCENTIVE PLAN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93"/>
        <w:gridCol w:w="120"/>
        <w:gridCol w:w="2426"/>
        <w:gridCol w:w="120"/>
        <w:gridCol w:w="2526"/>
        <w:gridCol w:w="120"/>
        <w:gridCol w:w="2200"/>
      </w:tblGrid>
      <w:tr>
        <w:trPr/>
        <w:tc>
          <w:tcPr>
            <w:tcW w:w="269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2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52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r>
      <w:tr>
        <w:trPr/>
        <w:tc>
          <w:tcPr>
            <w:tcW w:w="2693" w:type="dxa"/>
            <w:tcBorders/>
          </w:tcPr>
          <w:p>
            <w:pPr>
              <w:pStyle w:val="TableContents"/>
              <w:bidi w:val="0"/>
              <w:spacing w:before="0" w:after="283"/>
              <w:jc w:val="left"/>
              <w:rPr/>
            </w:pPr>
            <w:r>
              <w:rPr/>
              <w:t>Name of Grantee:</w:t>
            </w:r>
          </w:p>
        </w:tc>
        <w:tc>
          <w:tcPr>
            <w:tcW w:w="120" w:type="dxa"/>
            <w:tcBorders/>
            <w:vAlign w:val="bottom"/>
          </w:tcPr>
          <w:p>
            <w:pPr>
              <w:pStyle w:val="TableContents"/>
              <w:bidi w:val="0"/>
              <w:spacing w:before="0" w:after="283"/>
              <w:jc w:val="left"/>
              <w:rPr/>
            </w:pPr>
            <w:r>
              <w:rPr/>
              <w:t>  </w:t>
            </w:r>
          </w:p>
        </w:tc>
        <w:tc>
          <w:tcPr>
            <w:tcW w:w="2426" w:type="dxa"/>
            <w:tcBorders/>
          </w:tcPr>
          <w:p>
            <w:pPr>
              <w:pStyle w:val="TableContents"/>
              <w:pBdr>
                <w:bottom w:val="single" w:sz="2" w:space="1" w:color="000000"/>
              </w:pBdr>
              <w:bidi w:val="0"/>
              <w:spacing w:before="0" w:after="20"/>
              <w:jc w:val="left"/>
              <w:rPr/>
            </w:pPr>
            <w:r>
              <w:rPr/>
              <w:t> </w:t>
            </w:r>
          </w:p>
        </w:tc>
        <w:tc>
          <w:tcPr>
            <w:tcW w:w="120" w:type="dxa"/>
            <w:tcBorders/>
            <w:vAlign w:val="bottom"/>
          </w:tcPr>
          <w:p>
            <w:pPr>
              <w:pStyle w:val="TableContents"/>
              <w:bidi w:val="0"/>
              <w:spacing w:before="0" w:after="283"/>
              <w:jc w:val="left"/>
              <w:rPr/>
            </w:pPr>
            <w:r>
              <w:rPr/>
              <w:t>  </w:t>
            </w:r>
          </w:p>
        </w:tc>
        <w:tc>
          <w:tcPr>
            <w:tcW w:w="252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00" w:type="dxa"/>
            <w:tcBorders/>
          </w:tcPr>
          <w:p>
            <w:pPr>
              <w:pStyle w:val="TableContents"/>
              <w:bidi w:val="0"/>
              <w:spacing w:before="0" w:after="283"/>
              <w:jc w:val="left"/>
              <w:rPr>
                <w:sz w:val="4"/>
                <w:szCs w:val="4"/>
              </w:rPr>
            </w:pPr>
            <w:r>
              <w:rPr>
                <w:sz w:val="4"/>
                <w:szCs w:val="4"/>
              </w:rPr>
            </w:r>
          </w:p>
        </w:tc>
      </w:tr>
      <w:tr>
        <w:trPr>
          <w:trHeight w:val="240" w:hRule="atLeast"/>
        </w:trPr>
        <w:tc>
          <w:tcPr>
            <w:tcW w:w="2693" w:type="dxa"/>
            <w:tcBorders/>
            <w:vAlign w:val="center"/>
          </w:tcPr>
          <w:p>
            <w:pPr>
              <w:pStyle w:val="TableContents"/>
              <w:bidi w:val="0"/>
              <w:spacing w:before="0" w:after="283"/>
              <w:jc w:val="left"/>
              <w:rPr>
                <w:sz w:val="4"/>
                <w:szCs w:val="4"/>
              </w:rPr>
            </w:pPr>
            <w:r>
              <w:rPr>
                <w:sz w:val="4"/>
                <w:szCs w:val="4"/>
              </w:rPr>
            </w:r>
          </w:p>
        </w:tc>
        <w:tc>
          <w:tcPr>
            <w:tcW w:w="2546" w:type="dxa"/>
            <w:gridSpan w:val="2"/>
            <w:tcBorders/>
            <w:vAlign w:val="center"/>
          </w:tcPr>
          <w:p>
            <w:pPr>
              <w:pStyle w:val="TableContents"/>
              <w:bidi w:val="0"/>
              <w:spacing w:before="0" w:after="283"/>
              <w:jc w:val="left"/>
              <w:rPr>
                <w:sz w:val="4"/>
                <w:szCs w:val="4"/>
              </w:rPr>
            </w:pPr>
            <w:r>
              <w:rPr>
                <w:sz w:val="4"/>
                <w:szCs w:val="4"/>
              </w:rPr>
            </w:r>
          </w:p>
        </w:tc>
        <w:tc>
          <w:tcPr>
            <w:tcW w:w="2646" w:type="dxa"/>
            <w:gridSpan w:val="2"/>
            <w:tcBorders/>
            <w:vAlign w:val="center"/>
          </w:tcPr>
          <w:p>
            <w:pPr>
              <w:pStyle w:val="TableContents"/>
              <w:bidi w:val="0"/>
              <w:spacing w:before="0" w:after="283"/>
              <w:jc w:val="left"/>
              <w:rPr>
                <w:sz w:val="4"/>
                <w:szCs w:val="4"/>
              </w:rPr>
            </w:pPr>
            <w:r>
              <w:rPr>
                <w:sz w:val="4"/>
                <w:szCs w:val="4"/>
              </w:rPr>
            </w:r>
          </w:p>
        </w:tc>
        <w:tc>
          <w:tcPr>
            <w:tcW w:w="2320" w:type="dxa"/>
            <w:gridSpan w:val="2"/>
            <w:tcBorders/>
            <w:vAlign w:val="center"/>
          </w:tcPr>
          <w:p>
            <w:pPr>
              <w:pStyle w:val="TableContents"/>
              <w:bidi w:val="0"/>
              <w:spacing w:before="0" w:after="283"/>
              <w:jc w:val="left"/>
              <w:rPr>
                <w:sz w:val="4"/>
                <w:szCs w:val="4"/>
              </w:rPr>
            </w:pPr>
            <w:r>
              <w:rPr>
                <w:sz w:val="4"/>
                <w:szCs w:val="4"/>
              </w:rPr>
            </w:r>
          </w:p>
        </w:tc>
      </w:tr>
      <w:tr>
        <w:trPr/>
        <w:tc>
          <w:tcPr>
            <w:tcW w:w="2693" w:type="dxa"/>
            <w:tcBorders/>
          </w:tcPr>
          <w:p>
            <w:pPr>
              <w:pStyle w:val="TableContents"/>
              <w:bidi w:val="0"/>
              <w:spacing w:before="0" w:after="283"/>
              <w:jc w:val="left"/>
              <w:rPr/>
            </w:pPr>
            <w:r>
              <w:rPr/>
              <w:t>No. of Option Shares:</w:t>
            </w:r>
          </w:p>
        </w:tc>
        <w:tc>
          <w:tcPr>
            <w:tcW w:w="120" w:type="dxa"/>
            <w:tcBorders/>
            <w:vAlign w:val="bottom"/>
          </w:tcPr>
          <w:p>
            <w:pPr>
              <w:pStyle w:val="TableContents"/>
              <w:bidi w:val="0"/>
              <w:spacing w:before="0" w:after="283"/>
              <w:jc w:val="left"/>
              <w:rPr/>
            </w:pPr>
            <w:r>
              <w:rPr/>
              <w:t>  </w:t>
            </w:r>
          </w:p>
        </w:tc>
        <w:tc>
          <w:tcPr>
            <w:tcW w:w="2426" w:type="dxa"/>
            <w:tcBorders/>
          </w:tcPr>
          <w:p>
            <w:pPr>
              <w:pStyle w:val="TableContents"/>
              <w:pBdr>
                <w:bottom w:val="single" w:sz="2" w:space="1" w:color="000000"/>
              </w:pBdr>
              <w:bidi w:val="0"/>
              <w:spacing w:before="0" w:after="20"/>
              <w:jc w:val="left"/>
              <w:rPr/>
            </w:pPr>
            <w:r>
              <w:rPr/>
              <w:t> </w:t>
            </w:r>
          </w:p>
        </w:tc>
        <w:tc>
          <w:tcPr>
            <w:tcW w:w="120" w:type="dxa"/>
            <w:tcBorders/>
            <w:vAlign w:val="bottom"/>
          </w:tcPr>
          <w:p>
            <w:pPr>
              <w:pStyle w:val="TableContents"/>
              <w:bidi w:val="0"/>
              <w:spacing w:before="0" w:after="283"/>
              <w:jc w:val="left"/>
              <w:rPr/>
            </w:pPr>
            <w:r>
              <w:rPr/>
              <w:t>  </w:t>
            </w:r>
          </w:p>
        </w:tc>
        <w:tc>
          <w:tcPr>
            <w:tcW w:w="2526" w:type="dxa"/>
            <w:tcBorders/>
          </w:tcPr>
          <w:p>
            <w:pPr>
              <w:pStyle w:val="TableContents"/>
              <w:bidi w:val="0"/>
              <w:spacing w:before="0" w:after="283"/>
              <w:jc w:val="left"/>
              <w:rPr/>
            </w:pPr>
            <w:r>
              <w:rPr/>
              <w:t>(the “Option Shares”)</w:t>
            </w:r>
          </w:p>
        </w:tc>
        <w:tc>
          <w:tcPr>
            <w:tcW w:w="120" w:type="dxa"/>
            <w:tcBorders/>
            <w:vAlign w:val="bottom"/>
          </w:tcPr>
          <w:p>
            <w:pPr>
              <w:pStyle w:val="TableContents"/>
              <w:bidi w:val="0"/>
              <w:spacing w:before="0" w:after="283"/>
              <w:jc w:val="left"/>
              <w:rPr/>
            </w:pPr>
            <w:r>
              <w:rPr/>
              <w:t>  </w:t>
            </w:r>
          </w:p>
        </w:tc>
        <w:tc>
          <w:tcPr>
            <w:tcW w:w="2200" w:type="dxa"/>
            <w:tcBorders/>
          </w:tcPr>
          <w:p>
            <w:pPr>
              <w:pStyle w:val="TableContents"/>
              <w:bidi w:val="0"/>
              <w:spacing w:before="0" w:after="283"/>
              <w:jc w:val="left"/>
              <w:rPr>
                <w:sz w:val="4"/>
                <w:szCs w:val="4"/>
              </w:rPr>
            </w:pPr>
            <w:r>
              <w:rPr>
                <w:sz w:val="4"/>
                <w:szCs w:val="4"/>
              </w:rPr>
            </w:r>
          </w:p>
        </w:tc>
      </w:tr>
      <w:tr>
        <w:trPr>
          <w:trHeight w:val="240" w:hRule="atLeast"/>
        </w:trPr>
        <w:tc>
          <w:tcPr>
            <w:tcW w:w="2693" w:type="dxa"/>
            <w:tcBorders/>
            <w:vAlign w:val="center"/>
          </w:tcPr>
          <w:p>
            <w:pPr>
              <w:pStyle w:val="TableContents"/>
              <w:bidi w:val="0"/>
              <w:spacing w:before="0" w:after="283"/>
              <w:jc w:val="left"/>
              <w:rPr>
                <w:sz w:val="4"/>
                <w:szCs w:val="4"/>
              </w:rPr>
            </w:pPr>
            <w:r>
              <w:rPr>
                <w:sz w:val="4"/>
                <w:szCs w:val="4"/>
              </w:rPr>
            </w:r>
          </w:p>
        </w:tc>
        <w:tc>
          <w:tcPr>
            <w:tcW w:w="2546" w:type="dxa"/>
            <w:gridSpan w:val="2"/>
            <w:tcBorders/>
            <w:vAlign w:val="center"/>
          </w:tcPr>
          <w:p>
            <w:pPr>
              <w:pStyle w:val="TableContents"/>
              <w:bidi w:val="0"/>
              <w:spacing w:before="0" w:after="283"/>
              <w:jc w:val="left"/>
              <w:rPr>
                <w:sz w:val="4"/>
                <w:szCs w:val="4"/>
              </w:rPr>
            </w:pPr>
            <w:r>
              <w:rPr>
                <w:sz w:val="4"/>
                <w:szCs w:val="4"/>
              </w:rPr>
            </w:r>
          </w:p>
        </w:tc>
        <w:tc>
          <w:tcPr>
            <w:tcW w:w="2646" w:type="dxa"/>
            <w:gridSpan w:val="2"/>
            <w:tcBorders/>
            <w:vAlign w:val="center"/>
          </w:tcPr>
          <w:p>
            <w:pPr>
              <w:pStyle w:val="TableContents"/>
              <w:bidi w:val="0"/>
              <w:spacing w:before="0" w:after="283"/>
              <w:jc w:val="left"/>
              <w:rPr>
                <w:sz w:val="4"/>
                <w:szCs w:val="4"/>
              </w:rPr>
            </w:pPr>
            <w:r>
              <w:rPr>
                <w:sz w:val="4"/>
                <w:szCs w:val="4"/>
              </w:rPr>
            </w:r>
          </w:p>
        </w:tc>
        <w:tc>
          <w:tcPr>
            <w:tcW w:w="2320" w:type="dxa"/>
            <w:gridSpan w:val="2"/>
            <w:tcBorders/>
            <w:vAlign w:val="center"/>
          </w:tcPr>
          <w:p>
            <w:pPr>
              <w:pStyle w:val="TableContents"/>
              <w:bidi w:val="0"/>
              <w:spacing w:before="0" w:after="283"/>
              <w:jc w:val="left"/>
              <w:rPr>
                <w:sz w:val="4"/>
                <w:szCs w:val="4"/>
              </w:rPr>
            </w:pPr>
            <w:r>
              <w:rPr>
                <w:sz w:val="4"/>
                <w:szCs w:val="4"/>
              </w:rPr>
            </w:r>
          </w:p>
        </w:tc>
      </w:tr>
      <w:tr>
        <w:trPr/>
        <w:tc>
          <w:tcPr>
            <w:tcW w:w="2693" w:type="dxa"/>
            <w:tcBorders/>
          </w:tcPr>
          <w:p>
            <w:pPr>
              <w:pStyle w:val="TableContents"/>
              <w:bidi w:val="0"/>
              <w:spacing w:before="0" w:after="283"/>
              <w:jc w:val="left"/>
              <w:rPr/>
            </w:pPr>
            <w:r>
              <w:rPr/>
              <w:t>Option Exercise Price per Share:</w:t>
            </w:r>
          </w:p>
        </w:tc>
        <w:tc>
          <w:tcPr>
            <w:tcW w:w="120" w:type="dxa"/>
            <w:tcBorders/>
            <w:vAlign w:val="bottom"/>
          </w:tcPr>
          <w:p>
            <w:pPr>
              <w:pStyle w:val="TableContents"/>
              <w:bidi w:val="0"/>
              <w:spacing w:before="0" w:after="283"/>
              <w:jc w:val="left"/>
              <w:rPr/>
            </w:pPr>
            <w:r>
              <w:rPr/>
              <w:t>  </w:t>
            </w:r>
          </w:p>
        </w:tc>
        <w:tc>
          <w:tcPr>
            <w:tcW w:w="2426"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2526" w:type="dxa"/>
            <w:tcBorders/>
          </w:tcPr>
          <w:p>
            <w:pPr>
              <w:pStyle w:val="TableContents"/>
              <w:bidi w:val="0"/>
              <w:spacing w:before="0" w:after="283"/>
              <w:jc w:val="left"/>
              <w:rPr/>
            </w:pPr>
            <w:r>
              <w:rPr/>
              <w:t>(the “Exercise Price”)</w:t>
            </w:r>
          </w:p>
        </w:tc>
        <w:tc>
          <w:tcPr>
            <w:tcW w:w="120" w:type="dxa"/>
            <w:tcBorders/>
            <w:vAlign w:val="bottom"/>
          </w:tcPr>
          <w:p>
            <w:pPr>
              <w:pStyle w:val="TableContents"/>
              <w:bidi w:val="0"/>
              <w:spacing w:before="0" w:after="283"/>
              <w:jc w:val="left"/>
              <w:rPr/>
            </w:pPr>
            <w:r>
              <w:rPr/>
              <w:t>  </w:t>
            </w:r>
          </w:p>
        </w:tc>
        <w:tc>
          <w:tcPr>
            <w:tcW w:w="2200" w:type="dxa"/>
            <w:tcBorders/>
          </w:tcPr>
          <w:p>
            <w:pPr>
              <w:pStyle w:val="TableContents"/>
              <w:bidi w:val="0"/>
              <w:spacing w:before="0" w:after="283"/>
              <w:jc w:val="left"/>
              <w:rPr>
                <w:sz w:val="4"/>
                <w:szCs w:val="4"/>
              </w:rPr>
            </w:pPr>
            <w:r>
              <w:rPr>
                <w:sz w:val="4"/>
                <w:szCs w:val="4"/>
              </w:rPr>
            </w:r>
          </w:p>
        </w:tc>
      </w:tr>
      <w:tr>
        <w:trPr>
          <w:trHeight w:val="240" w:hRule="atLeast"/>
        </w:trPr>
        <w:tc>
          <w:tcPr>
            <w:tcW w:w="2693" w:type="dxa"/>
            <w:tcBorders/>
            <w:vAlign w:val="center"/>
          </w:tcPr>
          <w:p>
            <w:pPr>
              <w:pStyle w:val="TableContents"/>
              <w:bidi w:val="0"/>
              <w:spacing w:before="0" w:after="283"/>
              <w:jc w:val="left"/>
              <w:rPr>
                <w:sz w:val="4"/>
                <w:szCs w:val="4"/>
              </w:rPr>
            </w:pPr>
            <w:r>
              <w:rPr>
                <w:sz w:val="4"/>
                <w:szCs w:val="4"/>
              </w:rPr>
            </w:r>
          </w:p>
        </w:tc>
        <w:tc>
          <w:tcPr>
            <w:tcW w:w="2546" w:type="dxa"/>
            <w:gridSpan w:val="2"/>
            <w:tcBorders/>
            <w:vAlign w:val="center"/>
          </w:tcPr>
          <w:p>
            <w:pPr>
              <w:pStyle w:val="TableContents"/>
              <w:bidi w:val="0"/>
              <w:spacing w:before="0" w:after="283"/>
              <w:jc w:val="left"/>
              <w:rPr>
                <w:sz w:val="4"/>
                <w:szCs w:val="4"/>
              </w:rPr>
            </w:pPr>
            <w:r>
              <w:rPr>
                <w:sz w:val="4"/>
                <w:szCs w:val="4"/>
              </w:rPr>
            </w:r>
          </w:p>
        </w:tc>
        <w:tc>
          <w:tcPr>
            <w:tcW w:w="2646" w:type="dxa"/>
            <w:gridSpan w:val="2"/>
            <w:tcBorders/>
            <w:vAlign w:val="center"/>
          </w:tcPr>
          <w:p>
            <w:pPr>
              <w:pStyle w:val="TableContents"/>
              <w:bidi w:val="0"/>
              <w:spacing w:before="0" w:after="283"/>
              <w:jc w:val="left"/>
              <w:rPr>
                <w:sz w:val="4"/>
                <w:szCs w:val="4"/>
              </w:rPr>
            </w:pPr>
            <w:r>
              <w:rPr>
                <w:sz w:val="4"/>
                <w:szCs w:val="4"/>
              </w:rPr>
            </w:r>
          </w:p>
        </w:tc>
        <w:tc>
          <w:tcPr>
            <w:tcW w:w="2320" w:type="dxa"/>
            <w:gridSpan w:val="2"/>
            <w:tcBorders/>
            <w:vAlign w:val="center"/>
          </w:tcPr>
          <w:p>
            <w:pPr>
              <w:pStyle w:val="TableContents"/>
              <w:bidi w:val="0"/>
              <w:spacing w:before="0" w:after="283"/>
              <w:jc w:val="left"/>
              <w:rPr>
                <w:sz w:val="4"/>
                <w:szCs w:val="4"/>
              </w:rPr>
            </w:pPr>
            <w:r>
              <w:rPr>
                <w:sz w:val="4"/>
                <w:szCs w:val="4"/>
              </w:rPr>
            </w:r>
          </w:p>
        </w:tc>
      </w:tr>
      <w:tr>
        <w:trPr/>
        <w:tc>
          <w:tcPr>
            <w:tcW w:w="269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426" w:type="dxa"/>
            <w:tcBorders/>
          </w:tcPr>
          <w:p>
            <w:pPr>
              <w:pStyle w:val="TableContents"/>
              <w:bidi w:val="0"/>
              <w:spacing w:before="0" w:after="283"/>
              <w:jc w:val="left"/>
              <w:rPr>
                <w:b/>
              </w:rPr>
            </w:pPr>
            <w:r>
              <w:rPr>
                <w:b/>
              </w:rPr>
              <w:t>[FMV on Grant Date]</w:t>
            </w:r>
          </w:p>
        </w:tc>
        <w:tc>
          <w:tcPr>
            <w:tcW w:w="120" w:type="dxa"/>
            <w:tcBorders/>
            <w:vAlign w:val="bottom"/>
          </w:tcPr>
          <w:p>
            <w:pPr>
              <w:pStyle w:val="TableContents"/>
              <w:bidi w:val="0"/>
              <w:spacing w:before="0" w:after="283"/>
              <w:jc w:val="left"/>
              <w:rPr/>
            </w:pPr>
            <w:r>
              <w:rPr/>
              <w:t>  </w:t>
            </w:r>
          </w:p>
        </w:tc>
        <w:tc>
          <w:tcPr>
            <w:tcW w:w="252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00" w:type="dxa"/>
            <w:tcBorders/>
          </w:tcPr>
          <w:p>
            <w:pPr>
              <w:pStyle w:val="TableContents"/>
              <w:bidi w:val="0"/>
              <w:spacing w:before="0" w:after="283"/>
              <w:jc w:val="left"/>
              <w:rPr>
                <w:sz w:val="4"/>
                <w:szCs w:val="4"/>
              </w:rPr>
            </w:pPr>
            <w:r>
              <w:rPr>
                <w:sz w:val="4"/>
                <w:szCs w:val="4"/>
              </w:rPr>
            </w:r>
          </w:p>
        </w:tc>
      </w:tr>
      <w:tr>
        <w:trPr>
          <w:trHeight w:val="240" w:hRule="atLeast"/>
        </w:trPr>
        <w:tc>
          <w:tcPr>
            <w:tcW w:w="2693" w:type="dxa"/>
            <w:tcBorders/>
            <w:vAlign w:val="center"/>
          </w:tcPr>
          <w:p>
            <w:pPr>
              <w:pStyle w:val="TableContents"/>
              <w:bidi w:val="0"/>
              <w:spacing w:before="0" w:after="283"/>
              <w:jc w:val="left"/>
              <w:rPr>
                <w:sz w:val="4"/>
                <w:szCs w:val="4"/>
              </w:rPr>
            </w:pPr>
            <w:r>
              <w:rPr>
                <w:sz w:val="4"/>
                <w:szCs w:val="4"/>
              </w:rPr>
            </w:r>
          </w:p>
        </w:tc>
        <w:tc>
          <w:tcPr>
            <w:tcW w:w="2546" w:type="dxa"/>
            <w:gridSpan w:val="2"/>
            <w:tcBorders/>
            <w:vAlign w:val="center"/>
          </w:tcPr>
          <w:p>
            <w:pPr>
              <w:pStyle w:val="TableContents"/>
              <w:bidi w:val="0"/>
              <w:spacing w:before="0" w:after="283"/>
              <w:jc w:val="left"/>
              <w:rPr>
                <w:sz w:val="4"/>
                <w:szCs w:val="4"/>
              </w:rPr>
            </w:pPr>
            <w:r>
              <w:rPr>
                <w:sz w:val="4"/>
                <w:szCs w:val="4"/>
              </w:rPr>
            </w:r>
          </w:p>
        </w:tc>
        <w:tc>
          <w:tcPr>
            <w:tcW w:w="2646" w:type="dxa"/>
            <w:gridSpan w:val="2"/>
            <w:tcBorders/>
            <w:vAlign w:val="center"/>
          </w:tcPr>
          <w:p>
            <w:pPr>
              <w:pStyle w:val="TableContents"/>
              <w:bidi w:val="0"/>
              <w:spacing w:before="0" w:after="283"/>
              <w:jc w:val="left"/>
              <w:rPr>
                <w:sz w:val="4"/>
                <w:szCs w:val="4"/>
              </w:rPr>
            </w:pPr>
            <w:r>
              <w:rPr>
                <w:sz w:val="4"/>
                <w:szCs w:val="4"/>
              </w:rPr>
            </w:r>
          </w:p>
        </w:tc>
        <w:tc>
          <w:tcPr>
            <w:tcW w:w="2320" w:type="dxa"/>
            <w:gridSpan w:val="2"/>
            <w:tcBorders/>
            <w:vAlign w:val="center"/>
          </w:tcPr>
          <w:p>
            <w:pPr>
              <w:pStyle w:val="TableContents"/>
              <w:bidi w:val="0"/>
              <w:spacing w:before="0" w:after="283"/>
              <w:jc w:val="left"/>
              <w:rPr>
                <w:sz w:val="4"/>
                <w:szCs w:val="4"/>
              </w:rPr>
            </w:pPr>
            <w:r>
              <w:rPr>
                <w:sz w:val="4"/>
                <w:szCs w:val="4"/>
              </w:rPr>
            </w:r>
          </w:p>
        </w:tc>
      </w:tr>
      <w:tr>
        <w:trPr/>
        <w:tc>
          <w:tcPr>
            <w:tcW w:w="2693" w:type="dxa"/>
            <w:tcBorders/>
          </w:tcPr>
          <w:p>
            <w:pPr>
              <w:pStyle w:val="TableContents"/>
              <w:bidi w:val="0"/>
              <w:spacing w:before="0" w:after="283"/>
              <w:jc w:val="left"/>
              <w:rPr/>
            </w:pPr>
            <w:r>
              <w:rPr/>
              <w:t>Grant Date:</w:t>
            </w:r>
          </w:p>
        </w:tc>
        <w:tc>
          <w:tcPr>
            <w:tcW w:w="120" w:type="dxa"/>
            <w:tcBorders/>
            <w:vAlign w:val="bottom"/>
          </w:tcPr>
          <w:p>
            <w:pPr>
              <w:pStyle w:val="TableContents"/>
              <w:bidi w:val="0"/>
              <w:spacing w:before="0" w:after="283"/>
              <w:jc w:val="left"/>
              <w:rPr/>
            </w:pPr>
            <w:r>
              <w:rPr/>
              <w:t>  </w:t>
            </w:r>
          </w:p>
        </w:tc>
        <w:tc>
          <w:tcPr>
            <w:tcW w:w="242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52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00" w:type="dxa"/>
            <w:tcBorders/>
          </w:tcPr>
          <w:p>
            <w:pPr>
              <w:pStyle w:val="TableContents"/>
              <w:bidi w:val="0"/>
              <w:spacing w:before="0" w:after="283"/>
              <w:jc w:val="left"/>
              <w:rPr>
                <w:sz w:val="4"/>
                <w:szCs w:val="4"/>
              </w:rPr>
            </w:pPr>
            <w:r>
              <w:rPr>
                <w:sz w:val="4"/>
                <w:szCs w:val="4"/>
              </w:rPr>
            </w:r>
          </w:p>
        </w:tc>
      </w:tr>
      <w:tr>
        <w:trPr>
          <w:trHeight w:val="240" w:hRule="atLeast"/>
        </w:trPr>
        <w:tc>
          <w:tcPr>
            <w:tcW w:w="2693" w:type="dxa"/>
            <w:tcBorders/>
            <w:vAlign w:val="center"/>
          </w:tcPr>
          <w:p>
            <w:pPr>
              <w:pStyle w:val="TableContents"/>
              <w:bidi w:val="0"/>
              <w:spacing w:before="0" w:after="283"/>
              <w:jc w:val="left"/>
              <w:rPr>
                <w:sz w:val="4"/>
                <w:szCs w:val="4"/>
              </w:rPr>
            </w:pPr>
            <w:r>
              <w:rPr>
                <w:sz w:val="4"/>
                <w:szCs w:val="4"/>
              </w:rPr>
            </w:r>
          </w:p>
        </w:tc>
        <w:tc>
          <w:tcPr>
            <w:tcW w:w="2546" w:type="dxa"/>
            <w:gridSpan w:val="2"/>
            <w:tcBorders/>
            <w:vAlign w:val="center"/>
          </w:tcPr>
          <w:p>
            <w:pPr>
              <w:pStyle w:val="TableContents"/>
              <w:bidi w:val="0"/>
              <w:spacing w:before="0" w:after="283"/>
              <w:jc w:val="left"/>
              <w:rPr>
                <w:sz w:val="4"/>
                <w:szCs w:val="4"/>
              </w:rPr>
            </w:pPr>
            <w:r>
              <w:rPr>
                <w:sz w:val="4"/>
                <w:szCs w:val="4"/>
              </w:rPr>
            </w:r>
          </w:p>
        </w:tc>
        <w:tc>
          <w:tcPr>
            <w:tcW w:w="2646" w:type="dxa"/>
            <w:gridSpan w:val="2"/>
            <w:tcBorders/>
            <w:vAlign w:val="center"/>
          </w:tcPr>
          <w:p>
            <w:pPr>
              <w:pStyle w:val="TableContents"/>
              <w:bidi w:val="0"/>
              <w:spacing w:before="0" w:after="283"/>
              <w:jc w:val="left"/>
              <w:rPr>
                <w:sz w:val="4"/>
                <w:szCs w:val="4"/>
              </w:rPr>
            </w:pPr>
            <w:r>
              <w:rPr>
                <w:sz w:val="4"/>
                <w:szCs w:val="4"/>
              </w:rPr>
            </w:r>
          </w:p>
        </w:tc>
        <w:tc>
          <w:tcPr>
            <w:tcW w:w="2320" w:type="dxa"/>
            <w:gridSpan w:val="2"/>
            <w:tcBorders/>
            <w:vAlign w:val="center"/>
          </w:tcPr>
          <w:p>
            <w:pPr>
              <w:pStyle w:val="TableContents"/>
              <w:bidi w:val="0"/>
              <w:spacing w:before="0" w:after="283"/>
              <w:jc w:val="left"/>
              <w:rPr>
                <w:sz w:val="4"/>
                <w:szCs w:val="4"/>
              </w:rPr>
            </w:pPr>
            <w:r>
              <w:rPr>
                <w:sz w:val="4"/>
                <w:szCs w:val="4"/>
              </w:rPr>
            </w:r>
          </w:p>
        </w:tc>
      </w:tr>
      <w:tr>
        <w:trPr/>
        <w:tc>
          <w:tcPr>
            <w:tcW w:w="2693" w:type="dxa"/>
            <w:tcBorders/>
          </w:tcPr>
          <w:p>
            <w:pPr>
              <w:pStyle w:val="TableContents"/>
              <w:bidi w:val="0"/>
              <w:spacing w:before="0" w:after="283"/>
              <w:jc w:val="left"/>
              <w:rPr/>
            </w:pPr>
            <w:r>
              <w:rPr/>
              <w:t>Expiration Date:</w:t>
            </w:r>
          </w:p>
        </w:tc>
        <w:tc>
          <w:tcPr>
            <w:tcW w:w="120" w:type="dxa"/>
            <w:tcBorders/>
            <w:vAlign w:val="bottom"/>
          </w:tcPr>
          <w:p>
            <w:pPr>
              <w:pStyle w:val="TableContents"/>
              <w:bidi w:val="0"/>
              <w:spacing w:before="0" w:after="283"/>
              <w:jc w:val="left"/>
              <w:rPr/>
            </w:pPr>
            <w:r>
              <w:rPr/>
              <w:t>  </w:t>
            </w:r>
          </w:p>
        </w:tc>
        <w:tc>
          <w:tcPr>
            <w:tcW w:w="2426" w:type="dxa"/>
            <w:tcBorders/>
          </w:tcPr>
          <w:p>
            <w:pPr>
              <w:pStyle w:val="TableContents"/>
              <w:pBdr>
                <w:bottom w:val="single" w:sz="2" w:space="1" w:color="000000"/>
              </w:pBdr>
              <w:bidi w:val="0"/>
              <w:spacing w:before="0" w:after="20"/>
              <w:jc w:val="left"/>
              <w:rPr/>
            </w:pPr>
            <w:r>
              <w:rPr/>
              <w:t> </w:t>
            </w:r>
          </w:p>
        </w:tc>
        <w:tc>
          <w:tcPr>
            <w:tcW w:w="120" w:type="dxa"/>
            <w:tcBorders/>
            <w:vAlign w:val="bottom"/>
          </w:tcPr>
          <w:p>
            <w:pPr>
              <w:pStyle w:val="TableContents"/>
              <w:bidi w:val="0"/>
              <w:spacing w:before="0" w:after="283"/>
              <w:jc w:val="left"/>
              <w:rPr/>
            </w:pPr>
            <w:r>
              <w:rPr/>
              <w:t>  </w:t>
            </w:r>
          </w:p>
        </w:tc>
        <w:tc>
          <w:tcPr>
            <w:tcW w:w="2526" w:type="dxa"/>
            <w:tcBorders/>
          </w:tcPr>
          <w:p>
            <w:pPr>
              <w:pStyle w:val="TableContents"/>
              <w:bidi w:val="0"/>
              <w:spacing w:before="0" w:after="283"/>
              <w:jc w:val="left"/>
              <w:rPr/>
            </w:pPr>
            <w:r>
              <w:rPr/>
              <w:t>(the “Expiration Date”)</w:t>
            </w:r>
          </w:p>
        </w:tc>
        <w:tc>
          <w:tcPr>
            <w:tcW w:w="120" w:type="dxa"/>
            <w:tcBorders/>
            <w:vAlign w:val="bottom"/>
          </w:tcPr>
          <w:p>
            <w:pPr>
              <w:pStyle w:val="TableContents"/>
              <w:bidi w:val="0"/>
              <w:spacing w:before="0" w:after="283"/>
              <w:jc w:val="left"/>
              <w:rPr/>
            </w:pPr>
            <w:r>
              <w:rPr/>
              <w:t>  </w:t>
            </w:r>
          </w:p>
        </w:tc>
        <w:tc>
          <w:tcPr>
            <w:tcW w:w="2200" w:type="dxa"/>
            <w:tcBorders/>
          </w:tcPr>
          <w:p>
            <w:pPr>
              <w:pStyle w:val="TableContents"/>
              <w:bidi w:val="0"/>
              <w:spacing w:before="0" w:after="283"/>
              <w:jc w:val="left"/>
              <w:rPr>
                <w:sz w:val="4"/>
                <w:szCs w:val="4"/>
              </w:rPr>
            </w:pPr>
            <w:r>
              <w:rPr>
                <w:sz w:val="4"/>
                <w:szCs w:val="4"/>
              </w:rPr>
            </w:r>
          </w:p>
        </w:tc>
      </w:tr>
      <w:tr>
        <w:trPr/>
        <w:tc>
          <w:tcPr>
            <w:tcW w:w="269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426" w:type="dxa"/>
            <w:tcBorders/>
          </w:tcPr>
          <w:p>
            <w:pPr>
              <w:pStyle w:val="TableContents"/>
              <w:bidi w:val="0"/>
              <w:spacing w:before="0" w:after="283"/>
              <w:jc w:val="left"/>
              <w:rPr>
                <w:b/>
              </w:rPr>
            </w:pPr>
            <w:r>
              <w:rPr>
                <w:b/>
              </w:rPr>
              <w:t>[No more than 10 years]</w:t>
            </w:r>
          </w:p>
        </w:tc>
        <w:tc>
          <w:tcPr>
            <w:tcW w:w="120" w:type="dxa"/>
            <w:tcBorders/>
            <w:vAlign w:val="bottom"/>
          </w:tcPr>
          <w:p>
            <w:pPr>
              <w:pStyle w:val="TableContents"/>
              <w:bidi w:val="0"/>
              <w:spacing w:before="0" w:after="283"/>
              <w:jc w:val="left"/>
              <w:rPr/>
            </w:pPr>
            <w:r>
              <w:rPr/>
              <w:t>  </w:t>
            </w:r>
          </w:p>
        </w:tc>
        <w:tc>
          <w:tcPr>
            <w:tcW w:w="252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00"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Damora Therapeutics, Inc. 2020 Equity Incentive Plan as amended through the date hereof (the “Plan”), Damora Therapeutics, Inc. (the “Company”) hereby grants to the Grantee named above an option (the “Stock Option”) to purchase on or prior to the Expiration Date specified above all or part of the number of Ordinary Shares, par value $0.00001 per share (the “Shares”) of the Company specified above at the Option Exercise Price per Share specified above subject to the terms and conditions set forth herein and in the Plan. This Stock Option is not intended to be an “incentive stock option” under Section 422 of the Internal Revenue Code of 1986, as amended.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Exercisability Schedule</w:t>
      </w:r>
      <w:r>
        <w:rPr>
          <w:rFonts w:ascii="Times New Roman" w:hAnsi="Times New Roman"/>
          <w:sz w:val="20"/>
        </w:rPr>
        <w:t xml:space="preserve">. No portion of this Stock Option may be exercised until such portion shall have become exercisable. Except as set forth below, and subject to the discretion of the Administrator (as defined in Section 1 of the Plan) to accelerate the exercisability schedule hereunder, this Stock Option shall be exercisable with respect to the following number of Option Shares on the dates indicated so long as Grantee maintains a Service Relationship with Company or a Subsidiary on such dates: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097"/>
        <w:gridCol w:w="961"/>
        <w:gridCol w:w="910"/>
        <w:gridCol w:w="910"/>
        <w:gridCol w:w="61"/>
      </w:tblGrid>
      <w:tr>
        <w:trPr/>
        <w:tc>
          <w:tcPr>
            <w:tcW w:w="4097" w:type="dxa"/>
            <w:tcBorders/>
            <w:vAlign w:val="center"/>
          </w:tcPr>
          <w:p>
            <w:pPr>
              <w:pStyle w:val="TableContents"/>
              <w:bidi w:val="0"/>
              <w:spacing w:before="0" w:after="283"/>
              <w:jc w:val="left"/>
              <w:rPr>
                <w:sz w:val="4"/>
                <w:szCs w:val="4"/>
              </w:rPr>
            </w:pPr>
            <w:r>
              <w:rPr>
                <w:sz w:val="4"/>
                <w:szCs w:val="4"/>
              </w:rPr>
            </w:r>
          </w:p>
        </w:tc>
        <w:tc>
          <w:tcPr>
            <w:tcW w:w="961" w:type="dxa"/>
            <w:tcBorders/>
            <w:vAlign w:val="bottom"/>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c>
          <w:tcPr>
            <w:tcW w:w="4097"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Incremental Number of</w:t>
            </w:r>
          </w:p>
          <w:p>
            <w:pPr>
              <w:pStyle w:val="TableContents"/>
              <w:pBdr>
                <w:bottom w:val="single" w:sz="8" w:space="1" w:color="000000"/>
              </w:pBdr>
              <w:bidi w:val="0"/>
              <w:spacing w:before="0" w:after="20"/>
              <w:jc w:val="left"/>
              <w:rPr>
                <w:rFonts w:ascii="Times New Roman" w:hAnsi="Times New Roman"/>
                <w:sz w:val="16"/>
              </w:rPr>
            </w:pPr>
            <w:r>
              <w:rPr>
                <w:rFonts w:ascii="Times New Roman" w:hAnsi="Times New Roman"/>
                <w:sz w:val="16"/>
              </w:rPr>
              <w:t>Option Shares Exercisable</w:t>
            </w:r>
          </w:p>
        </w:tc>
        <w:tc>
          <w:tcPr>
            <w:tcW w:w="961" w:type="dxa"/>
            <w:tcBorders/>
            <w:vAlign w:val="bottom"/>
          </w:tcPr>
          <w:p>
            <w:pPr>
              <w:pStyle w:val="TableContents"/>
              <w:bidi w:val="0"/>
              <w:spacing w:before="0" w:after="283"/>
              <w:jc w:val="left"/>
              <w:rPr/>
            </w:pPr>
            <w:r>
              <w:rPr/>
              <w:t>  </w:t>
            </w:r>
          </w:p>
        </w:tc>
        <w:tc>
          <w:tcPr>
            <w:tcW w:w="1820" w:type="dxa"/>
            <w:gridSpan w:val="2"/>
            <w:tcBorders>
              <w:bottom w:val="single" w:sz="8" w:space="0" w:color="000000"/>
            </w:tcBorders>
            <w:tcMar>
              <w:bottom w:w="28" w:type="dxa"/>
            </w:tcMar>
            <w:vAlign w:val="bottom"/>
          </w:tcPr>
          <w:p>
            <w:pPr>
              <w:pStyle w:val="TableContents"/>
              <w:bidi w:val="0"/>
              <w:spacing w:before="0" w:after="283"/>
              <w:jc w:val="center"/>
              <w:rPr/>
            </w:pPr>
            <w:r>
              <w:rPr/>
              <w:t>Exercisability Date</w:t>
            </w:r>
          </w:p>
        </w:tc>
        <w:tc>
          <w:tcPr>
            <w:tcW w:w="61" w:type="dxa"/>
            <w:tcBorders/>
            <w:vAlign w:val="bottom"/>
          </w:tcPr>
          <w:p>
            <w:pPr>
              <w:pStyle w:val="TableContents"/>
              <w:bidi w:val="0"/>
              <w:spacing w:before="0" w:after="283"/>
              <w:jc w:val="left"/>
              <w:rPr/>
            </w:pPr>
            <w:r>
              <w:rPr/>
              <w:t> </w:t>
            </w:r>
          </w:p>
        </w:tc>
      </w:tr>
      <w:tr>
        <w:trPr/>
        <w:tc>
          <w:tcPr>
            <w:tcW w:w="40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_____________ (___%)</w:t>
            </w:r>
          </w:p>
        </w:tc>
        <w:tc>
          <w:tcPr>
            <w:tcW w:w="961"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bidi w:val="0"/>
              <w:spacing w:before="0" w:after="283"/>
              <w:jc w:val="left"/>
              <w:rPr>
                <w:sz w:val="4"/>
                <w:szCs w:val="4"/>
              </w:rPr>
            </w:pPr>
            <w:r>
              <w:rPr>
                <w:sz w:val="4"/>
                <w:szCs w:val="4"/>
              </w:rPr>
            </w:r>
          </w:p>
        </w:tc>
        <w:tc>
          <w:tcPr>
            <w:tcW w:w="910"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r>
        <w:trPr/>
        <w:tc>
          <w:tcPr>
            <w:tcW w:w="4097" w:type="dxa"/>
            <w:tcBorders/>
          </w:tcPr>
          <w:p>
            <w:pPr>
              <w:pStyle w:val="TableContents"/>
              <w:bidi w:val="0"/>
              <w:spacing w:before="0" w:after="0"/>
              <w:jc w:val="left"/>
              <w:rPr>
                <w:rFonts w:ascii="Times New Roman" w:hAnsi="Times New Roman"/>
                <w:sz w:val="20"/>
              </w:rPr>
            </w:pPr>
            <w:r>
              <w:rPr>
                <w:rFonts w:ascii="Times New Roman" w:hAnsi="Times New Roman"/>
                <w:sz w:val="20"/>
              </w:rPr>
              <w:t>_____________ (___%)</w:t>
            </w:r>
          </w:p>
        </w:tc>
        <w:tc>
          <w:tcPr>
            <w:tcW w:w="961" w:type="dxa"/>
            <w:tcBorders/>
            <w:vAlign w:val="bottom"/>
          </w:tcPr>
          <w:p>
            <w:pPr>
              <w:pStyle w:val="TableContents"/>
              <w:bidi w:val="0"/>
              <w:spacing w:before="0" w:after="283"/>
              <w:jc w:val="left"/>
              <w:rPr/>
            </w:pPr>
            <w:r>
              <w:rPr/>
              <w:t>  </w:t>
            </w:r>
          </w:p>
        </w:tc>
        <w:tc>
          <w:tcPr>
            <w:tcW w:w="910" w:type="dxa"/>
            <w:tcBorders/>
            <w:vAlign w:val="bottom"/>
          </w:tcPr>
          <w:p>
            <w:pPr>
              <w:pStyle w:val="TableContents"/>
              <w:bidi w:val="0"/>
              <w:spacing w:before="0" w:after="283"/>
              <w:jc w:val="left"/>
              <w:rPr>
                <w:sz w:val="4"/>
                <w:szCs w:val="4"/>
              </w:rPr>
            </w:pPr>
            <w:r>
              <w:rPr>
                <w:sz w:val="4"/>
                <w:szCs w:val="4"/>
              </w:rPr>
            </w:r>
          </w:p>
        </w:tc>
        <w:tc>
          <w:tcPr>
            <w:tcW w:w="910"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r>
      <w:tr>
        <w:trPr/>
        <w:tc>
          <w:tcPr>
            <w:tcW w:w="40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_____________ (___%)</w:t>
            </w:r>
          </w:p>
        </w:tc>
        <w:tc>
          <w:tcPr>
            <w:tcW w:w="961"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bidi w:val="0"/>
              <w:spacing w:before="0" w:after="283"/>
              <w:jc w:val="left"/>
              <w:rPr>
                <w:sz w:val="4"/>
                <w:szCs w:val="4"/>
              </w:rPr>
            </w:pPr>
            <w:r>
              <w:rPr>
                <w:sz w:val="4"/>
                <w:szCs w:val="4"/>
              </w:rPr>
            </w:r>
          </w:p>
        </w:tc>
        <w:tc>
          <w:tcPr>
            <w:tcW w:w="910"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r>
        <w:trPr/>
        <w:tc>
          <w:tcPr>
            <w:tcW w:w="4097" w:type="dxa"/>
            <w:tcBorders/>
          </w:tcPr>
          <w:p>
            <w:pPr>
              <w:pStyle w:val="TableContents"/>
              <w:bidi w:val="0"/>
              <w:spacing w:before="0" w:after="0"/>
              <w:jc w:val="left"/>
              <w:rPr>
                <w:rFonts w:ascii="Times New Roman" w:hAnsi="Times New Roman"/>
                <w:sz w:val="20"/>
              </w:rPr>
            </w:pPr>
            <w:r>
              <w:rPr>
                <w:rFonts w:ascii="Times New Roman" w:hAnsi="Times New Roman"/>
                <w:sz w:val="20"/>
              </w:rPr>
              <w:t>_____________ (___%)</w:t>
            </w:r>
          </w:p>
        </w:tc>
        <w:tc>
          <w:tcPr>
            <w:tcW w:w="961" w:type="dxa"/>
            <w:tcBorders/>
            <w:vAlign w:val="bottom"/>
          </w:tcPr>
          <w:p>
            <w:pPr>
              <w:pStyle w:val="TableContents"/>
              <w:bidi w:val="0"/>
              <w:spacing w:before="0" w:after="283"/>
              <w:jc w:val="left"/>
              <w:rPr/>
            </w:pPr>
            <w:r>
              <w:rPr/>
              <w:t>  </w:t>
            </w:r>
          </w:p>
        </w:tc>
        <w:tc>
          <w:tcPr>
            <w:tcW w:w="910" w:type="dxa"/>
            <w:tcBorders/>
            <w:vAlign w:val="bottom"/>
          </w:tcPr>
          <w:p>
            <w:pPr>
              <w:pStyle w:val="TableContents"/>
              <w:bidi w:val="0"/>
              <w:spacing w:before="0" w:after="283"/>
              <w:jc w:val="left"/>
              <w:rPr>
                <w:sz w:val="4"/>
                <w:szCs w:val="4"/>
              </w:rPr>
            </w:pPr>
            <w:r>
              <w:rPr>
                <w:sz w:val="4"/>
                <w:szCs w:val="4"/>
              </w:rPr>
            </w:r>
          </w:p>
        </w:tc>
        <w:tc>
          <w:tcPr>
            <w:tcW w:w="910"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r>
      <w:tr>
        <w:trPr/>
        <w:tc>
          <w:tcPr>
            <w:tcW w:w="40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_____________ (___%)</w:t>
            </w:r>
          </w:p>
        </w:tc>
        <w:tc>
          <w:tcPr>
            <w:tcW w:w="961"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bidi w:val="0"/>
              <w:spacing w:before="0" w:after="283"/>
              <w:jc w:val="left"/>
              <w:rPr>
                <w:sz w:val="4"/>
                <w:szCs w:val="4"/>
              </w:rPr>
            </w:pPr>
            <w:r>
              <w:rPr>
                <w:sz w:val="4"/>
                <w:szCs w:val="4"/>
              </w:rPr>
            </w:r>
          </w:p>
        </w:tc>
        <w:tc>
          <w:tcPr>
            <w:tcW w:w="910"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Once exercisable, this Stock Option shall continue to be exercisable at any time or times prior to the close of business on the Expiration Date, subject to the provisions hereof and of the Plan.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Manner of Exercise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Grantee may exercise this Stock Option only in the following manner: from time to time on or prior to the Expiration Date of this Stock Option, the Grantee may give written notice to the Administrator of his or her election to purchase some or all of the Option Shares purchasable at the time of such notice. This notice shall specify the number of Option Shares to be purchased. </w:t>
      </w:r>
    </w:p>
    <w:p>
      <w:pPr>
        <w:pStyle w:val="TextBody"/>
        <w:bidi w:val="0"/>
        <w:spacing w:before="240" w:after="0"/>
        <w:jc w:val="left"/>
        <w:rPr>
          <w:rFonts w:ascii="Times New Roman" w:hAnsi="Times New Roman"/>
          <w:sz w:val="20"/>
        </w:rPr>
      </w:pPr>
      <w:r>
        <w:rPr>
          <w:rFonts w:ascii="Times New Roman" w:hAnsi="Times New Roman"/>
          <w:sz w:val="20"/>
        </w:rPr>
        <w:t xml:space="preserve">Payment of the purchase price for the Option Shares may be made by one or more of the following methods: (i) in cash, by certified or bank check or other instrument acceptable to the Administrator; (ii) through the delivery (or attestation to the ownership) of Shares that have been purchased by the Grantee on the open market or that are beneficially owned by the Grantee and are not then subject to any restrictions under any Company plan and that otherwise satisfy any holding periods as may be required by the Administrator; (iii) by the Grantee delivering to the Company a properly executed exercise notice together with irrevocable instructions to a broker to promptly deliver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the Company cash or a check payable and acceptable to the Company to pay the option purchase price, provided that in the event the Grantee chooses to pay the option purchase price as so provided, the Grantee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issuable upon exercise by the largest whole number of shares with a Fair Market Value that does not exceed the aggregate exercise price; or (v) a combination of (i), (ii), (iii) and (iv) above. Payment instruments will be received subject to collection. </w:t>
      </w:r>
    </w:p>
    <w:p>
      <w:pPr>
        <w:pStyle w:val="TextBody"/>
        <w:bidi w:val="0"/>
        <w:spacing w:before="240" w:after="0"/>
        <w:jc w:val="left"/>
        <w:rPr>
          <w:rFonts w:ascii="Times New Roman" w:hAnsi="Times New Roman"/>
          <w:sz w:val="20"/>
        </w:rPr>
      </w:pPr>
      <w:r>
        <w:rPr>
          <w:rFonts w:ascii="Times New Roman" w:hAnsi="Times New Roman"/>
          <w:sz w:val="20"/>
        </w:rPr>
        <w:t xml:space="preserve">The transfer to the Grantee on the records of the Company or of the transfer agent of the Option Shares will be contingent upon (i) the Company’s receipt from the Grantee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Shares to be purchased pursuant to the exercise of Stock Options under the Plan and any subsequent resale of the Shares will be in compliance with applicable laws and regulations. In the event the Grantee chooses to pay the purchase price by previously-owned Shares through the attestation method, the number of Shares transferred to the Grantee upon the exercise of the Stock Option shall be net of the Shares attested to. </w:t>
      </w:r>
    </w:p>
    <w:p>
      <w:pPr>
        <w:pStyle w:val="TextBody"/>
        <w:bidi w:val="0"/>
        <w:spacing w:before="240" w:after="0"/>
        <w:jc w:val="left"/>
        <w:rPr>
          <w:rFonts w:ascii="Times New Roman" w:hAnsi="Times New Roman"/>
          <w:sz w:val="20"/>
        </w:rPr>
      </w:pPr>
      <w:r>
        <w:rPr>
          <w:rFonts w:ascii="Times New Roman" w:hAnsi="Times New Roman"/>
          <w:sz w:val="20"/>
        </w:rPr>
        <w:t xml:space="preserve">(b) The Shares purchased upon exercise of this Stock Option shall be transferred to the Grantee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Grantee. The Grantee shall not be deemed to be the holder of, or to have any of the rights of a holder with respect to, any Shares subject to this Stock Option unless and until this Stock Option shall have been exercised pursuant to the terms hereof, the Company or the transfer agent shall have transferred the shares to the Grantee, and the Grantee’s name shall have been entered as the shareholder of record in the register of membersof the Company. Thereupon, the Grantee shall have full voting, dividend and other ownership rights with respect to such Shares. </w:t>
      </w:r>
    </w:p>
    <w:p>
      <w:pPr>
        <w:pStyle w:val="TextBody"/>
        <w:bidi w:val="0"/>
        <w:spacing w:before="240" w:after="0"/>
        <w:jc w:val="left"/>
        <w:rPr>
          <w:rFonts w:ascii="Times New Roman" w:hAnsi="Times New Roman"/>
          <w:sz w:val="20"/>
        </w:rPr>
      </w:pPr>
      <w:r>
        <w:rPr>
          <w:rFonts w:ascii="Times New Roman" w:hAnsi="Times New Roman"/>
          <w:sz w:val="20"/>
        </w:rPr>
        <w:t xml:space="preserve">(c) 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 other provision hereof or of the Plan, no portion of this Stock Option shall be exercisable after the Expiration Date hereof.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Termination of Service Relationship</w:t>
      </w:r>
      <w:r>
        <w:rPr>
          <w:rFonts w:ascii="Times New Roman" w:hAnsi="Times New Roman"/>
          <w:sz w:val="20"/>
        </w:rPr>
        <w:t xml:space="preserve">. If the Grantee’s Service Relationship ceases, the period within which to exercise the Stock Option may be subject to earlier termination as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Termination Due to Death</w:t>
      </w:r>
      <w:r>
        <w:rPr>
          <w:rFonts w:ascii="Times New Roman" w:hAnsi="Times New Roman"/>
          <w:sz w:val="20"/>
        </w:rPr>
        <w:t xml:space="preserve">. If the Grantee’s Service Relationship ceases by reason of the Grantee’s death, any portion of this Stock Option outstanding on such date, to the extent exercisable on the date of death, may thereafter be exercised by the Grantee’s legal representative or legatee for a period of 12 months from the date of death or until the Expiration Date, if earlier. Any portion of this Stock Option that is not exercisable on the date of death shall terminate immediately and be of no further force or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Termination Due to Disability</w:t>
      </w:r>
      <w:r>
        <w:rPr>
          <w:rFonts w:ascii="Times New Roman" w:hAnsi="Times New Roman"/>
          <w:sz w:val="20"/>
        </w:rPr>
        <w:t xml:space="preserve">. If the Grantee’s Service Relationship ceases by reason of the Grantee’s disability (as reasonably determined by the Administrator in accordance with Section 409A and applicable law), any portion of this Stock Option outstanding on such date, to the extent exercisable on the date of such termination of the Service Relationship, may thereafter be exercised by the Grantee for a period of 12 months from the date of disability or until the Expiration Date, if earlier. Any portion of this Stock Option that is not exercisable on the date of disability shall terminate immediately and be of no further force or effect.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Termination for Cause</w:t>
      </w:r>
      <w:r>
        <w:rPr>
          <w:rFonts w:ascii="Times New Roman" w:hAnsi="Times New Roman"/>
          <w:sz w:val="20"/>
        </w:rPr>
        <w:t xml:space="preserve">. If the Grantee’s Service Relationship ceases for Cause, any portion of this Stock Option outstanding (whether vested or unvested) on such date shall terminate immediately and be of no further force and effect. For purposes hereof, “Cause” shall mean, unless otherwise provided in an employment agreement between the Company and the Grantee, a determination by the Administrator that the Grantee shall be dismissed as a result of (i) any material breach by the Grantee of any agreement between the Grantee and the Company; (ii) the conviction of, indictment for or plea of nolo contendere by the Grantee to a felony or a crime involving moral turpitude; or (iii) any material misconduct or willful and deliberate non-performance (other than by reason of disability) by the Grantee of the Grantee’s duties to the Company.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Other Termination</w:t>
      </w:r>
      <w:r>
        <w:rPr>
          <w:rFonts w:ascii="Times New Roman" w:hAnsi="Times New Roman"/>
          <w:sz w:val="20"/>
        </w:rPr>
        <w:t xml:space="preserve">. If the Grantee’s Service Relationship ceases for any reason other than the Grantee’s death, the Grantee’s disability or Cause, and unless otherwise determined by the Administrator, any portion of this Stock Option outstanding on such date may be exercised, to the extent exercisable on the date of termination, for a period of three months from the date of termination or until the Expiration Date, if earlier. Any portion of this Stock Option that is not exercisable on the date of termination shall terminate immediately and be of no further force or effect.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Administrator’s determination of the reason for termination of the Grantee’s Service Relationship shall be conclusive and binding on the Grantee and his or her representatives or legatees.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Incorporation of Plan</w:t>
      </w:r>
      <w:r>
        <w:rPr>
          <w:rFonts w:ascii="Times New Roman" w:hAnsi="Times New Roman"/>
          <w:sz w:val="20"/>
        </w:rPr>
        <w:t xml:space="preserve">.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Transferability</w:t>
      </w:r>
      <w:r>
        <w:rPr>
          <w:rFonts w:ascii="Times New Roman" w:hAnsi="Times New Roman"/>
          <w:sz w:val="20"/>
        </w:rPr>
        <w:t xml:space="preserve">. This Agreement is personal to the Grantee, is non-assignable and is not transferable in any manner, by operation of law or otherwise, other than by will or the laws of descent and distribution. This Stock Option is exercisable, during the Grantee’s lifetime, only by the Grantee, and thereafter, only by the Grantee’s legal representative or legatee.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Tax Withholding</w:t>
      </w:r>
      <w:r>
        <w:rPr>
          <w:rFonts w:ascii="Times New Roman" w:hAnsi="Times New Roman"/>
          <w:sz w:val="20"/>
        </w:rPr>
        <w:t xml:space="preserve">. The Grantee shall, not later than the date as of which the exercise of this Stock Option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minimum required tax withholding obligation to be satisfied, in whole or in part, by withholding from Shares to be issued to the Grantee a number of Shares with an aggregate Fair Market Value that would satisfy the minimum withholding amount due. Notwithstanding the foregoing, in the case of individuals who are subject to the reporting and other provisions of Section 16 of the Exchange Act, the Company shall affirmatively approve, by Board action, any such withholding of Shares as contemplated in the immediately preceding proviso.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No Obligation to Continue Service Relationship</w:t>
      </w:r>
      <w:r>
        <w:rPr>
          <w:rFonts w:ascii="Times New Roman" w:hAnsi="Times New Roman"/>
          <w:sz w:val="20"/>
        </w:rPr>
        <w:t xml:space="preserve">. Neither the Company nor any Subsidiary is obligated by or as a result of the Plan or this Agreement to continue the Grantee in employment and neither the Plan nor this Agreement shall interfere in any way with the right of the Company or any Subsidiary to terminate the Service Relationship of the Grantee at any time.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Integration</w:t>
      </w:r>
      <w:r>
        <w:rPr>
          <w:rFonts w:ascii="Times New Roman" w:hAnsi="Times New Roman"/>
          <w:sz w:val="20"/>
        </w:rPr>
        <w:t xml:space="preserve">. This Agreement constitutes the entire agreement between the parties with respect to this Stock Option and supersedes all prior agreements and discussions between the parties concerning such subject matter.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Data Privacy Consent</w:t>
      </w:r>
      <w:r>
        <w:rPr>
          <w:rFonts w:ascii="Times New Roman" w:hAnsi="Times New Roman"/>
          <w:sz w:val="20"/>
        </w:rPr>
        <w:t xml:space="preserve">.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Notices</w:t>
      </w:r>
      <w:r>
        <w:rPr>
          <w:rFonts w:ascii="Times New Roman" w:hAnsi="Times New Roman"/>
          <w:sz w:val="20"/>
        </w:rPr>
        <w:t xml:space="preserve">.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99"/>
        <w:gridCol w:w="148"/>
        <w:gridCol w:w="3135"/>
      </w:tblGrid>
      <w:tr>
        <w:trPr/>
        <w:tc>
          <w:tcPr>
            <w:tcW w:w="799"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313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DAMORA THERAPEUTICS, INC.</w:t>
            </w:r>
          </w:p>
        </w:tc>
      </w:tr>
      <w:tr>
        <w:trPr>
          <w:trHeight w:val="240" w:hRule="atLeast"/>
        </w:trPr>
        <w:tc>
          <w:tcPr>
            <w:tcW w:w="799" w:type="dxa"/>
            <w:tcBorders/>
            <w:vAlign w:val="center"/>
          </w:tcPr>
          <w:p>
            <w:pPr>
              <w:pStyle w:val="TableContents"/>
              <w:bidi w:val="0"/>
              <w:spacing w:before="0" w:after="283"/>
              <w:jc w:val="left"/>
              <w:rPr>
                <w:sz w:val="4"/>
                <w:szCs w:val="4"/>
              </w:rPr>
            </w:pPr>
            <w:r>
              <w:rPr>
                <w:sz w:val="4"/>
                <w:szCs w:val="4"/>
              </w:rPr>
            </w:r>
          </w:p>
        </w:tc>
        <w:tc>
          <w:tcPr>
            <w:tcW w:w="3283" w:type="dxa"/>
            <w:gridSpan w:val="2"/>
            <w:tcBorders/>
            <w:vAlign w:val="center"/>
          </w:tcPr>
          <w:p>
            <w:pPr>
              <w:pStyle w:val="TableContents"/>
              <w:bidi w:val="0"/>
              <w:spacing w:before="0" w:after="283"/>
              <w:jc w:val="left"/>
              <w:rPr>
                <w:sz w:val="4"/>
                <w:szCs w:val="4"/>
              </w:rPr>
            </w:pPr>
            <w:r>
              <w:rPr>
                <w:sz w:val="4"/>
                <w:szCs w:val="4"/>
              </w:rPr>
            </w:r>
          </w:p>
        </w:tc>
      </w:tr>
      <w:tr>
        <w:trPr/>
        <w:tc>
          <w:tcPr>
            <w:tcW w:w="799" w:type="dxa"/>
            <w:tcBorders/>
          </w:tcPr>
          <w:p>
            <w:pPr>
              <w:pStyle w:val="TableContents"/>
              <w:bidi w:val="0"/>
              <w:spacing w:before="0" w:after="283"/>
              <w:jc w:val="left"/>
              <w:rPr/>
            </w:pPr>
            <w:r>
              <w:rPr/>
              <w:t>By:</w:t>
            </w:r>
          </w:p>
        </w:tc>
        <w:tc>
          <w:tcPr>
            <w:tcW w:w="148" w:type="dxa"/>
            <w:tcBorders/>
            <w:vAlign w:val="bottom"/>
          </w:tcPr>
          <w:p>
            <w:pPr>
              <w:pStyle w:val="TableContents"/>
              <w:bidi w:val="0"/>
              <w:spacing w:before="0" w:after="283"/>
              <w:jc w:val="left"/>
              <w:rPr/>
            </w:pPr>
            <w:r>
              <w:rPr/>
              <w:t> </w:t>
            </w:r>
          </w:p>
        </w:tc>
        <w:tc>
          <w:tcPr>
            <w:tcW w:w="3135" w:type="dxa"/>
            <w:tcBorders/>
          </w:tcPr>
          <w:p>
            <w:pPr>
              <w:pStyle w:val="TableContents"/>
              <w:pBdr>
                <w:bottom w:val="single" w:sz="2" w:space="1" w:color="000000"/>
              </w:pBdr>
              <w:bidi w:val="0"/>
              <w:spacing w:before="0" w:after="20"/>
              <w:jc w:val="left"/>
              <w:rPr/>
            </w:pPr>
            <w:r>
              <w:rPr/>
              <w:t> </w:t>
            </w:r>
          </w:p>
        </w:tc>
      </w:tr>
      <w:tr>
        <w:trPr/>
        <w:tc>
          <w:tcPr>
            <w:tcW w:w="799"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3135" w:type="dxa"/>
            <w:tcBorders/>
          </w:tcPr>
          <w:p>
            <w:pPr>
              <w:pStyle w:val="TableContents"/>
              <w:bidi w:val="0"/>
              <w:spacing w:before="0" w:after="283"/>
              <w:jc w:val="left"/>
              <w:rPr/>
            </w:pPr>
            <w:r>
              <w:rPr/>
              <w:t>Title:</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Agreement is hereby accepted and the terms and conditions thereof hereby agreed to by the undersigned. Electronic acceptance of this Agreement pursuant to the Company’s instructions to the Grantee (including through an online acceptance process) is acceptable.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48"/>
        <w:gridCol w:w="124"/>
        <w:gridCol w:w="4933"/>
      </w:tblGrid>
      <w:tr>
        <w:trPr/>
        <w:tc>
          <w:tcPr>
            <w:tcW w:w="5148"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4933" w:type="dxa"/>
            <w:tcBorders/>
            <w:vAlign w:val="center"/>
          </w:tcPr>
          <w:p>
            <w:pPr>
              <w:pStyle w:val="TableContents"/>
              <w:bidi w:val="0"/>
              <w:spacing w:before="0" w:after="283"/>
              <w:jc w:val="left"/>
              <w:rPr>
                <w:sz w:val="4"/>
                <w:szCs w:val="4"/>
              </w:rPr>
            </w:pPr>
            <w:r>
              <w:rPr>
                <w:sz w:val="4"/>
                <w:szCs w:val="4"/>
              </w:rPr>
            </w:r>
          </w:p>
        </w:tc>
      </w:tr>
      <w:tr>
        <w:trPr/>
        <w:tc>
          <w:tcPr>
            <w:tcW w:w="5148" w:type="dxa"/>
            <w:tcBorders/>
          </w:tcPr>
          <w:p>
            <w:pPr>
              <w:pStyle w:val="TableContents"/>
              <w:bidi w:val="0"/>
              <w:spacing w:before="0" w:after="283"/>
              <w:jc w:val="left"/>
              <w:rPr/>
            </w:pPr>
            <w:r>
              <w:rPr/>
              <w:t>Dated:</w:t>
            </w:r>
          </w:p>
        </w:tc>
        <w:tc>
          <w:tcPr>
            <w:tcW w:w="124" w:type="dxa"/>
            <w:tcBorders/>
            <w:vAlign w:val="bottom"/>
          </w:tcPr>
          <w:p>
            <w:pPr>
              <w:pStyle w:val="TableContents"/>
              <w:bidi w:val="0"/>
              <w:spacing w:before="0" w:after="283"/>
              <w:jc w:val="left"/>
              <w:rPr/>
            </w:pPr>
            <w:r>
              <w:rPr/>
              <w:t>  </w:t>
            </w:r>
          </w:p>
        </w:tc>
        <w:tc>
          <w:tcPr>
            <w:tcW w:w="4933" w:type="dxa"/>
            <w:tcBorders/>
          </w:tcPr>
          <w:p>
            <w:pPr>
              <w:pStyle w:val="TableContents"/>
              <w:pBdr>
                <w:bottom w:val="single" w:sz="2" w:space="1" w:color="000000"/>
              </w:pBdr>
              <w:bidi w:val="0"/>
              <w:spacing w:before="0" w:after="20"/>
              <w:jc w:val="left"/>
              <w:rPr/>
            </w:pPr>
            <w:r>
              <w:rPr/>
              <w:t> </w:t>
            </w:r>
          </w:p>
        </w:tc>
      </w:tr>
      <w:tr>
        <w:trPr/>
        <w:tc>
          <w:tcPr>
            <w:tcW w:w="5148"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4933" w:type="dxa"/>
            <w:tcBorders/>
          </w:tcPr>
          <w:p>
            <w:pPr>
              <w:pStyle w:val="TableContents"/>
              <w:bidi w:val="0"/>
              <w:spacing w:before="0" w:after="283"/>
              <w:jc w:val="left"/>
              <w:rPr/>
            </w:pPr>
            <w:r>
              <w:rPr/>
              <w:t>Grantee’s Signature</w:t>
            </w:r>
          </w:p>
        </w:tc>
      </w:tr>
      <w:tr>
        <w:trPr>
          <w:trHeight w:val="240" w:hRule="atLeast"/>
        </w:trPr>
        <w:tc>
          <w:tcPr>
            <w:tcW w:w="5148" w:type="dxa"/>
            <w:tcBorders/>
            <w:vAlign w:val="center"/>
          </w:tcPr>
          <w:p>
            <w:pPr>
              <w:pStyle w:val="TableContents"/>
              <w:bidi w:val="0"/>
              <w:spacing w:before="0" w:after="283"/>
              <w:jc w:val="left"/>
              <w:rPr>
                <w:sz w:val="4"/>
                <w:szCs w:val="4"/>
              </w:rPr>
            </w:pPr>
            <w:r>
              <w:rPr>
                <w:sz w:val="4"/>
                <w:szCs w:val="4"/>
              </w:rPr>
            </w:r>
          </w:p>
        </w:tc>
        <w:tc>
          <w:tcPr>
            <w:tcW w:w="5057" w:type="dxa"/>
            <w:gridSpan w:val="2"/>
            <w:tcBorders/>
            <w:vAlign w:val="center"/>
          </w:tcPr>
          <w:p>
            <w:pPr>
              <w:pStyle w:val="TableContents"/>
              <w:bidi w:val="0"/>
              <w:spacing w:before="0" w:after="283"/>
              <w:jc w:val="left"/>
              <w:rPr>
                <w:sz w:val="4"/>
                <w:szCs w:val="4"/>
              </w:rPr>
            </w:pPr>
            <w:r>
              <w:rPr>
                <w:sz w:val="4"/>
                <w:szCs w:val="4"/>
              </w:rPr>
            </w:r>
          </w:p>
        </w:tc>
      </w:tr>
      <w:tr>
        <w:trPr/>
        <w:tc>
          <w:tcPr>
            <w:tcW w:w="5148"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4933" w:type="dxa"/>
            <w:tcBorders/>
          </w:tcPr>
          <w:p>
            <w:pPr>
              <w:pStyle w:val="TableContents"/>
              <w:bidi w:val="0"/>
              <w:spacing w:before="0" w:after="283"/>
              <w:jc w:val="left"/>
              <w:rPr/>
            </w:pPr>
            <w:r>
              <w:rPr/>
              <w:t>Grantee’s name and address:</w:t>
            </w:r>
          </w:p>
        </w:tc>
      </w:tr>
      <w:tr>
        <w:trPr>
          <w:trHeight w:val="240" w:hRule="atLeast"/>
        </w:trPr>
        <w:tc>
          <w:tcPr>
            <w:tcW w:w="5148" w:type="dxa"/>
            <w:tcBorders/>
            <w:vAlign w:val="center"/>
          </w:tcPr>
          <w:p>
            <w:pPr>
              <w:pStyle w:val="TableContents"/>
              <w:bidi w:val="0"/>
              <w:spacing w:before="0" w:after="283"/>
              <w:jc w:val="left"/>
              <w:rPr>
                <w:sz w:val="4"/>
                <w:szCs w:val="4"/>
              </w:rPr>
            </w:pPr>
            <w:r>
              <w:rPr>
                <w:sz w:val="4"/>
                <w:szCs w:val="4"/>
              </w:rPr>
            </w:r>
          </w:p>
        </w:tc>
        <w:tc>
          <w:tcPr>
            <w:tcW w:w="5057" w:type="dxa"/>
            <w:gridSpan w:val="2"/>
            <w:tcBorders/>
            <w:vAlign w:val="center"/>
          </w:tcPr>
          <w:p>
            <w:pPr>
              <w:pStyle w:val="TableContents"/>
              <w:bidi w:val="0"/>
              <w:spacing w:before="0" w:after="283"/>
              <w:jc w:val="left"/>
              <w:rPr>
                <w:sz w:val="4"/>
                <w:szCs w:val="4"/>
              </w:rPr>
            </w:pPr>
            <w:r>
              <w:rPr>
                <w:sz w:val="4"/>
                <w:szCs w:val="4"/>
              </w:rPr>
            </w:r>
          </w:p>
        </w:tc>
      </w:tr>
      <w:tr>
        <w:trPr/>
        <w:tc>
          <w:tcPr>
            <w:tcW w:w="5148"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4933" w:type="dxa"/>
            <w:tcBorders/>
          </w:tcPr>
          <w:p>
            <w:pPr>
              <w:pStyle w:val="TableContents"/>
              <w:pBdr>
                <w:bottom w:val="single" w:sz="2" w:space="1" w:color="000000"/>
              </w:pBdr>
              <w:bidi w:val="0"/>
              <w:spacing w:before="0" w:after="20"/>
              <w:jc w:val="left"/>
              <w:rPr/>
            </w:pPr>
            <w:r>
              <w:rPr/>
              <w:t> </w:t>
            </w:r>
          </w:p>
        </w:tc>
      </w:tr>
      <w:tr>
        <w:trPr>
          <w:trHeight w:val="240" w:hRule="atLeast"/>
        </w:trPr>
        <w:tc>
          <w:tcPr>
            <w:tcW w:w="5148" w:type="dxa"/>
            <w:tcBorders/>
            <w:vAlign w:val="center"/>
          </w:tcPr>
          <w:p>
            <w:pPr>
              <w:pStyle w:val="TableContents"/>
              <w:bidi w:val="0"/>
              <w:spacing w:before="0" w:after="283"/>
              <w:jc w:val="left"/>
              <w:rPr>
                <w:sz w:val="4"/>
                <w:szCs w:val="4"/>
              </w:rPr>
            </w:pPr>
            <w:r>
              <w:rPr>
                <w:sz w:val="4"/>
                <w:szCs w:val="4"/>
              </w:rPr>
            </w:r>
          </w:p>
        </w:tc>
        <w:tc>
          <w:tcPr>
            <w:tcW w:w="5057" w:type="dxa"/>
            <w:gridSpan w:val="2"/>
            <w:tcBorders/>
            <w:vAlign w:val="center"/>
          </w:tcPr>
          <w:p>
            <w:pPr>
              <w:pStyle w:val="TableContents"/>
              <w:bidi w:val="0"/>
              <w:spacing w:before="0" w:after="283"/>
              <w:jc w:val="left"/>
              <w:rPr>
                <w:sz w:val="4"/>
                <w:szCs w:val="4"/>
              </w:rPr>
            </w:pPr>
            <w:r>
              <w:rPr>
                <w:sz w:val="4"/>
                <w:szCs w:val="4"/>
              </w:rPr>
            </w:r>
          </w:p>
        </w:tc>
      </w:tr>
      <w:tr>
        <w:trPr/>
        <w:tc>
          <w:tcPr>
            <w:tcW w:w="5148"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4933" w:type="dxa"/>
            <w:tcBorders/>
          </w:tcPr>
          <w:p>
            <w:pPr>
              <w:pStyle w:val="TableContents"/>
              <w:pBdr>
                <w:bottom w:val="single" w:sz="2" w:space="1" w:color="000000"/>
              </w:pBdr>
              <w:bidi w:val="0"/>
              <w:spacing w:before="0" w:after="20"/>
              <w:jc w:val="left"/>
              <w:rPr/>
            </w:pPr>
            <w:r>
              <w:rPr/>
              <w:t> </w:t>
            </w:r>
          </w:p>
        </w:tc>
      </w:tr>
      <w:tr>
        <w:trPr>
          <w:trHeight w:val="240" w:hRule="atLeast"/>
        </w:trPr>
        <w:tc>
          <w:tcPr>
            <w:tcW w:w="5148" w:type="dxa"/>
            <w:tcBorders/>
            <w:vAlign w:val="center"/>
          </w:tcPr>
          <w:p>
            <w:pPr>
              <w:pStyle w:val="TableContents"/>
              <w:bidi w:val="0"/>
              <w:spacing w:before="0" w:after="283"/>
              <w:jc w:val="left"/>
              <w:rPr>
                <w:sz w:val="4"/>
                <w:szCs w:val="4"/>
              </w:rPr>
            </w:pPr>
            <w:r>
              <w:rPr>
                <w:sz w:val="4"/>
                <w:szCs w:val="4"/>
              </w:rPr>
            </w:r>
          </w:p>
        </w:tc>
        <w:tc>
          <w:tcPr>
            <w:tcW w:w="5057" w:type="dxa"/>
            <w:gridSpan w:val="2"/>
            <w:tcBorders/>
            <w:vAlign w:val="center"/>
          </w:tcPr>
          <w:p>
            <w:pPr>
              <w:pStyle w:val="TableContents"/>
              <w:bidi w:val="0"/>
              <w:spacing w:before="0" w:after="283"/>
              <w:jc w:val="left"/>
              <w:rPr>
                <w:sz w:val="4"/>
                <w:szCs w:val="4"/>
              </w:rPr>
            </w:pPr>
            <w:r>
              <w:rPr>
                <w:sz w:val="4"/>
                <w:szCs w:val="4"/>
              </w:rPr>
            </w:r>
          </w:p>
        </w:tc>
      </w:tr>
      <w:tr>
        <w:trPr/>
        <w:tc>
          <w:tcPr>
            <w:tcW w:w="5148"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4933" w:type="dxa"/>
            <w:tcBorders/>
          </w:tcPr>
          <w:p>
            <w:pPr>
              <w:pStyle w:val="TableContents"/>
              <w:pBdr>
                <w:bottom w:val="single" w:sz="2" w:space="1" w:color="000000"/>
              </w:pBdr>
              <w:bidi w:val="0"/>
              <w:spacing w:before="0" w:after="20"/>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RESTRICTED STOCK UNIT AWARD AGREEMENT </w:t>
      </w:r>
    </w:p>
    <w:p>
      <w:pPr>
        <w:pStyle w:val="TextBody"/>
        <w:bidi w:val="0"/>
        <w:spacing w:before="0" w:after="0"/>
        <w:jc w:val="center"/>
        <w:rPr>
          <w:rFonts w:ascii="Times New Roman" w:hAnsi="Times New Roman"/>
          <w:b/>
          <w:sz w:val="20"/>
        </w:rPr>
      </w:pPr>
      <w:r>
        <w:rPr>
          <w:rFonts w:ascii="Times New Roman" w:hAnsi="Times New Roman"/>
          <w:b/>
          <w:sz w:val="20"/>
        </w:rPr>
        <w:t xml:space="preserve">FOR COMPANY EMPLOYEES AND CONSULTANTS </w:t>
      </w:r>
    </w:p>
    <w:p>
      <w:pPr>
        <w:pStyle w:val="TextBody"/>
        <w:bidi w:val="0"/>
        <w:spacing w:before="0" w:after="0"/>
        <w:jc w:val="center"/>
        <w:rPr>
          <w:rFonts w:ascii="Times New Roman" w:hAnsi="Times New Roman"/>
          <w:b/>
          <w:sz w:val="20"/>
        </w:rPr>
      </w:pPr>
      <w:r>
        <w:rPr>
          <w:rFonts w:ascii="Times New Roman" w:hAnsi="Times New Roman"/>
          <w:b/>
          <w:sz w:val="20"/>
        </w:rPr>
        <w:t xml:space="preserve">UNDER DAMORA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2020 EQUITY INCENTIVE PLAN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58"/>
        <w:gridCol w:w="110"/>
        <w:gridCol w:w="1875"/>
        <w:gridCol w:w="123"/>
        <w:gridCol w:w="5539"/>
      </w:tblGrid>
      <w:tr>
        <w:trPr/>
        <w:tc>
          <w:tcPr>
            <w:tcW w:w="2558"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5539" w:type="dxa"/>
            <w:tcBorders/>
            <w:vAlign w:val="center"/>
          </w:tcPr>
          <w:p>
            <w:pPr>
              <w:pStyle w:val="TableContents"/>
              <w:bidi w:val="0"/>
              <w:spacing w:before="0" w:after="283"/>
              <w:jc w:val="left"/>
              <w:rPr>
                <w:sz w:val="4"/>
                <w:szCs w:val="4"/>
              </w:rPr>
            </w:pPr>
            <w:r>
              <w:rPr>
                <w:sz w:val="4"/>
                <w:szCs w:val="4"/>
              </w:rPr>
            </w:r>
          </w:p>
        </w:tc>
      </w:tr>
      <w:tr>
        <w:trPr/>
        <w:tc>
          <w:tcPr>
            <w:tcW w:w="2558" w:type="dxa"/>
            <w:tcBorders/>
          </w:tcPr>
          <w:p>
            <w:pPr>
              <w:pStyle w:val="TableContents"/>
              <w:bidi w:val="0"/>
              <w:spacing w:before="0" w:after="283"/>
              <w:jc w:val="left"/>
              <w:rPr/>
            </w:pPr>
            <w:r>
              <w:rPr/>
              <w:t>Name of Grantee:</w:t>
            </w:r>
          </w:p>
        </w:tc>
        <w:tc>
          <w:tcPr>
            <w:tcW w:w="110" w:type="dxa"/>
            <w:tcBorders>
              <w:bottom w:val="single" w:sz="2" w:space="0" w:color="000000"/>
            </w:tcBorders>
            <w:tcMar>
              <w:bottom w:w="28" w:type="dxa"/>
            </w:tcMar>
            <w:vAlign w:val="bottom"/>
          </w:tcPr>
          <w:p>
            <w:pPr>
              <w:pStyle w:val="TableContents"/>
              <w:bidi w:val="0"/>
              <w:spacing w:before="0" w:after="283"/>
              <w:jc w:val="left"/>
              <w:rPr/>
            </w:pPr>
            <w:r>
              <w:rPr/>
              <w:t> </w:t>
            </w:r>
          </w:p>
        </w:tc>
        <w:tc>
          <w:tcPr>
            <w:tcW w:w="1875" w:type="dxa"/>
            <w:tcBorders>
              <w:bottom w:val="single" w:sz="2" w:space="0" w:color="000000"/>
            </w:tcBorders>
            <w:tcMar>
              <w:bottom w:w="28" w:type="dxa"/>
            </w:tcMa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5539" w:type="dxa"/>
            <w:tcBorders/>
          </w:tcPr>
          <w:p>
            <w:pPr>
              <w:pStyle w:val="TableContents"/>
              <w:bidi w:val="0"/>
              <w:spacing w:before="0" w:after="283"/>
              <w:jc w:val="left"/>
              <w:rPr>
                <w:sz w:val="4"/>
                <w:szCs w:val="4"/>
              </w:rPr>
            </w:pPr>
            <w:r>
              <w:rPr>
                <w:sz w:val="4"/>
                <w:szCs w:val="4"/>
              </w:rPr>
            </w:r>
          </w:p>
        </w:tc>
      </w:tr>
      <w:tr>
        <w:trPr>
          <w:trHeight w:val="120" w:hRule="atLeast"/>
        </w:trPr>
        <w:tc>
          <w:tcPr>
            <w:tcW w:w="2558" w:type="dxa"/>
            <w:tcBorders/>
            <w:vAlign w:val="center"/>
          </w:tcPr>
          <w:p>
            <w:pPr>
              <w:pStyle w:val="TableContents"/>
              <w:bidi w:val="0"/>
              <w:spacing w:before="0" w:after="283"/>
              <w:jc w:val="left"/>
              <w:rPr>
                <w:sz w:val="4"/>
                <w:szCs w:val="4"/>
              </w:rPr>
            </w:pPr>
            <w:r>
              <w:rPr>
                <w:sz w:val="4"/>
                <w:szCs w:val="4"/>
              </w:rPr>
            </w:r>
          </w:p>
        </w:tc>
        <w:tc>
          <w:tcPr>
            <w:tcW w:w="1985" w:type="dxa"/>
            <w:gridSpan w:val="2"/>
            <w:tcBorders/>
            <w:vAlign w:val="center"/>
          </w:tcPr>
          <w:p>
            <w:pPr>
              <w:pStyle w:val="TableContents"/>
              <w:bidi w:val="0"/>
              <w:spacing w:before="0" w:after="283"/>
              <w:jc w:val="left"/>
              <w:rPr>
                <w:sz w:val="4"/>
                <w:szCs w:val="4"/>
              </w:rPr>
            </w:pPr>
            <w:r>
              <w:rPr>
                <w:sz w:val="4"/>
                <w:szCs w:val="4"/>
              </w:rPr>
            </w:r>
          </w:p>
        </w:tc>
        <w:tc>
          <w:tcPr>
            <w:tcW w:w="5662" w:type="dxa"/>
            <w:gridSpan w:val="2"/>
            <w:tcBorders/>
            <w:vAlign w:val="center"/>
          </w:tcPr>
          <w:p>
            <w:pPr>
              <w:pStyle w:val="TableContents"/>
              <w:bidi w:val="0"/>
              <w:spacing w:before="0" w:after="283"/>
              <w:jc w:val="left"/>
              <w:rPr>
                <w:sz w:val="4"/>
                <w:szCs w:val="4"/>
              </w:rPr>
            </w:pPr>
            <w:r>
              <w:rPr>
                <w:sz w:val="4"/>
                <w:szCs w:val="4"/>
              </w:rPr>
            </w:r>
          </w:p>
        </w:tc>
      </w:tr>
      <w:tr>
        <w:trPr/>
        <w:tc>
          <w:tcPr>
            <w:tcW w:w="2558" w:type="dxa"/>
            <w:tcBorders/>
          </w:tcPr>
          <w:p>
            <w:pPr>
              <w:pStyle w:val="TableContents"/>
              <w:bidi w:val="0"/>
              <w:spacing w:before="0" w:after="283"/>
              <w:jc w:val="left"/>
              <w:rPr/>
            </w:pPr>
            <w:r>
              <w:rPr/>
              <w:t>No. of Restricted Stock Units:</w:t>
            </w:r>
          </w:p>
        </w:tc>
        <w:tc>
          <w:tcPr>
            <w:tcW w:w="110" w:type="dxa"/>
            <w:tcBorders>
              <w:bottom w:val="single" w:sz="2" w:space="0" w:color="000000"/>
            </w:tcBorders>
            <w:tcMar>
              <w:bottom w:w="28" w:type="dxa"/>
            </w:tcMar>
            <w:vAlign w:val="bottom"/>
          </w:tcPr>
          <w:p>
            <w:pPr>
              <w:pStyle w:val="TableContents"/>
              <w:bidi w:val="0"/>
              <w:spacing w:before="0" w:after="283"/>
              <w:jc w:val="left"/>
              <w:rPr/>
            </w:pPr>
            <w:r>
              <w:rPr/>
              <w:t> </w:t>
            </w:r>
          </w:p>
        </w:tc>
        <w:tc>
          <w:tcPr>
            <w:tcW w:w="1875" w:type="dxa"/>
            <w:tcBorders>
              <w:bottom w:val="single" w:sz="2" w:space="0" w:color="000000"/>
            </w:tcBorders>
            <w:tcMar>
              <w:bottom w:w="28" w:type="dxa"/>
            </w:tcMa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5539" w:type="dxa"/>
            <w:tcBorders/>
          </w:tcPr>
          <w:p>
            <w:pPr>
              <w:pStyle w:val="TableContents"/>
              <w:bidi w:val="0"/>
              <w:spacing w:before="0" w:after="283"/>
              <w:jc w:val="left"/>
              <w:rPr>
                <w:sz w:val="4"/>
                <w:szCs w:val="4"/>
              </w:rPr>
            </w:pPr>
            <w:r>
              <w:rPr>
                <w:sz w:val="4"/>
                <w:szCs w:val="4"/>
              </w:rPr>
            </w:r>
          </w:p>
        </w:tc>
      </w:tr>
      <w:tr>
        <w:trPr>
          <w:trHeight w:val="120" w:hRule="atLeast"/>
        </w:trPr>
        <w:tc>
          <w:tcPr>
            <w:tcW w:w="2558" w:type="dxa"/>
            <w:tcBorders/>
            <w:vAlign w:val="center"/>
          </w:tcPr>
          <w:p>
            <w:pPr>
              <w:pStyle w:val="TableContents"/>
              <w:bidi w:val="0"/>
              <w:spacing w:before="0" w:after="283"/>
              <w:jc w:val="left"/>
              <w:rPr>
                <w:sz w:val="4"/>
                <w:szCs w:val="4"/>
              </w:rPr>
            </w:pPr>
            <w:r>
              <w:rPr>
                <w:sz w:val="4"/>
                <w:szCs w:val="4"/>
              </w:rPr>
            </w:r>
          </w:p>
        </w:tc>
        <w:tc>
          <w:tcPr>
            <w:tcW w:w="1985" w:type="dxa"/>
            <w:gridSpan w:val="2"/>
            <w:tcBorders/>
            <w:vAlign w:val="center"/>
          </w:tcPr>
          <w:p>
            <w:pPr>
              <w:pStyle w:val="TableContents"/>
              <w:bidi w:val="0"/>
              <w:spacing w:before="0" w:after="283"/>
              <w:jc w:val="left"/>
              <w:rPr>
                <w:sz w:val="4"/>
                <w:szCs w:val="4"/>
              </w:rPr>
            </w:pPr>
            <w:r>
              <w:rPr>
                <w:sz w:val="4"/>
                <w:szCs w:val="4"/>
              </w:rPr>
            </w:r>
          </w:p>
        </w:tc>
        <w:tc>
          <w:tcPr>
            <w:tcW w:w="5662" w:type="dxa"/>
            <w:gridSpan w:val="2"/>
            <w:tcBorders/>
            <w:vAlign w:val="center"/>
          </w:tcPr>
          <w:p>
            <w:pPr>
              <w:pStyle w:val="TableContents"/>
              <w:bidi w:val="0"/>
              <w:spacing w:before="0" w:after="283"/>
              <w:jc w:val="left"/>
              <w:rPr>
                <w:sz w:val="4"/>
                <w:szCs w:val="4"/>
              </w:rPr>
            </w:pPr>
            <w:r>
              <w:rPr>
                <w:sz w:val="4"/>
                <w:szCs w:val="4"/>
              </w:rPr>
            </w:r>
          </w:p>
        </w:tc>
      </w:tr>
      <w:tr>
        <w:trPr/>
        <w:tc>
          <w:tcPr>
            <w:tcW w:w="2558" w:type="dxa"/>
            <w:tcBorders/>
          </w:tcPr>
          <w:p>
            <w:pPr>
              <w:pStyle w:val="TableContents"/>
              <w:bidi w:val="0"/>
              <w:spacing w:before="0" w:after="283"/>
              <w:jc w:val="left"/>
              <w:rPr/>
            </w:pPr>
            <w:r>
              <w:rPr/>
              <w:t>Grant Date:</w:t>
            </w:r>
          </w:p>
        </w:tc>
        <w:tc>
          <w:tcPr>
            <w:tcW w:w="110" w:type="dxa"/>
            <w:tcBorders>
              <w:bottom w:val="single" w:sz="2" w:space="0" w:color="000000"/>
            </w:tcBorders>
            <w:tcMar>
              <w:bottom w:w="28" w:type="dxa"/>
            </w:tcMar>
            <w:vAlign w:val="bottom"/>
          </w:tcPr>
          <w:p>
            <w:pPr>
              <w:pStyle w:val="TableContents"/>
              <w:bidi w:val="0"/>
              <w:spacing w:before="0" w:after="283"/>
              <w:jc w:val="left"/>
              <w:rPr/>
            </w:pPr>
            <w:r>
              <w:rPr/>
              <w:t> </w:t>
            </w:r>
          </w:p>
        </w:tc>
        <w:tc>
          <w:tcPr>
            <w:tcW w:w="1875" w:type="dxa"/>
            <w:tcBorders>
              <w:bottom w:val="single" w:sz="2" w:space="0" w:color="000000"/>
            </w:tcBorders>
            <w:tcMar>
              <w:bottom w:w="28" w:type="dxa"/>
            </w:tcMa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5539" w:type="dxa"/>
            <w:tcBorders/>
          </w:tcPr>
          <w:p>
            <w:pPr>
              <w:pStyle w:val="TableContents"/>
              <w:bidi w:val="0"/>
              <w:spacing w:before="0" w:after="283"/>
              <w:jc w:val="left"/>
              <w:rPr/>
            </w:pPr>
            <w:r>
              <w:rPr/>
              <w:t>(the “Grant Date”)</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Damora Therapeutics, Inc. 2020 Equity Incentive Plan as amended through the date hereof (the “Plan”), Damora Therapeutics, Inc. (the “Company”) hereby grants an award of the number of Restricted Stock Units listed above (an “Award”) to the Grantee named above. Each Restricted Stock Unit shall relate to one Ordinary Share, par value $0.00001 per share (the “Shares”)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Restrictions on Transfer of Award</w:t>
      </w:r>
      <w:r>
        <w:rPr>
          <w:rFonts w:ascii="Times New Roman" w:hAnsi="Times New Roman"/>
          <w:sz w:val="20"/>
        </w:rPr>
        <w:t xml:space="preserve">. This Award may not be sold, transferred, pledged, assigned or otherwise encumbered or disposed of by the Grantee, and any Shares issuable with respect to the Award may not be sold, transferred, pledged, assigned or otherwise encumbered or disposed of until (i) the Restricted Stock Units have vested as provided in Paragraph 2 of this Agreement and (ii) Shares have been issued to the Grantee in accordance with the terms of the Plan and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Vesting of Restricted Stock Units</w:t>
      </w:r>
      <w:r>
        <w:rPr>
          <w:rFonts w:ascii="Times New Roman" w:hAnsi="Times New Roman"/>
          <w:sz w:val="20"/>
        </w:rPr>
        <w:t xml:space="preserve">. The restrictions and conditions of Paragraph 1 of this Agreement shall lapse on the Vesting Date or Dates specified in the following schedule so long as the Grantee maintains a Service Relationship with the Company or a Subsidiary on such Vesting Dates. If a series of Vesting Dates is specified, then the restrictions and conditions in Paragraph 1 shall lapse only with respect to the number of Restricted Stock Units specified as vested on such date.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828"/>
        <w:gridCol w:w="785"/>
        <w:gridCol w:w="632"/>
        <w:gridCol w:w="633"/>
        <w:gridCol w:w="61"/>
      </w:tblGrid>
      <w:tr>
        <w:trPr/>
        <w:tc>
          <w:tcPr>
            <w:tcW w:w="4828" w:type="dxa"/>
            <w:tcBorders/>
            <w:vAlign w:val="center"/>
          </w:tcPr>
          <w:p>
            <w:pPr>
              <w:pStyle w:val="TableContents"/>
              <w:bidi w:val="0"/>
              <w:spacing w:before="0" w:after="283"/>
              <w:jc w:val="left"/>
              <w:rPr>
                <w:sz w:val="4"/>
                <w:szCs w:val="4"/>
              </w:rPr>
            </w:pPr>
            <w:r>
              <w:rPr>
                <w:sz w:val="4"/>
                <w:szCs w:val="4"/>
              </w:rPr>
            </w:r>
          </w:p>
        </w:tc>
        <w:tc>
          <w:tcPr>
            <w:tcW w:w="785" w:type="dxa"/>
            <w:tcBorders/>
            <w:vAlign w:val="bottom"/>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c>
          <w:tcPr>
            <w:tcW w:w="4828"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Incremental Number of</w:t>
              <w:br/>
              <w:t>Restricted Stock Units Vested</w:t>
            </w:r>
          </w:p>
        </w:tc>
        <w:tc>
          <w:tcPr>
            <w:tcW w:w="785" w:type="dxa"/>
            <w:tcBorders/>
            <w:vAlign w:val="bottom"/>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bottom"/>
          </w:tcPr>
          <w:p>
            <w:pPr>
              <w:pStyle w:val="TableContents"/>
              <w:bidi w:val="0"/>
              <w:spacing w:before="0" w:after="283"/>
              <w:jc w:val="center"/>
              <w:rPr/>
            </w:pPr>
            <w:r>
              <w:rPr/>
              <w:t>Vesting Date</w:t>
            </w:r>
          </w:p>
        </w:tc>
        <w:tc>
          <w:tcPr>
            <w:tcW w:w="61" w:type="dxa"/>
            <w:tcBorders/>
            <w:vAlign w:val="bottom"/>
          </w:tcPr>
          <w:p>
            <w:pPr>
              <w:pStyle w:val="TableContents"/>
              <w:bidi w:val="0"/>
              <w:spacing w:before="0" w:after="283"/>
              <w:jc w:val="left"/>
              <w:rPr/>
            </w:pPr>
            <w:r>
              <w:rPr/>
              <w:t> </w:t>
            </w:r>
          </w:p>
        </w:tc>
      </w:tr>
      <w:tr>
        <w:trPr/>
        <w:tc>
          <w:tcPr>
            <w:tcW w:w="48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_____________ (___%)</w:t>
            </w:r>
          </w:p>
        </w:tc>
        <w:tc>
          <w:tcPr>
            <w:tcW w:w="785" w:type="dxa"/>
            <w:tcBorders/>
            <w:shd w:fill="CCEEFF" w:val="clear"/>
            <w:vAlign w:val="bottom"/>
          </w:tcPr>
          <w:p>
            <w:pPr>
              <w:pStyle w:val="TableContents"/>
              <w:bidi w:val="0"/>
              <w:spacing w:before="0" w:after="283"/>
              <w:jc w:val="left"/>
              <w:rPr/>
            </w:pPr>
            <w:r>
              <w:rPr/>
              <w:t>  </w:t>
            </w:r>
          </w:p>
        </w:tc>
        <w:tc>
          <w:tcPr>
            <w:tcW w:w="632" w:type="dxa"/>
            <w:tcBorders/>
            <w:shd w:fill="CCEEFF" w:val="clear"/>
            <w:vAlign w:val="bottom"/>
          </w:tcPr>
          <w:p>
            <w:pPr>
              <w:pStyle w:val="TableContents"/>
              <w:bidi w:val="0"/>
              <w:spacing w:before="0" w:after="283"/>
              <w:jc w:val="left"/>
              <w:rPr>
                <w:sz w:val="4"/>
                <w:szCs w:val="4"/>
              </w:rPr>
            </w:pPr>
            <w:r>
              <w:rPr>
                <w:sz w:val="4"/>
                <w:szCs w:val="4"/>
              </w:rPr>
            </w:r>
          </w:p>
        </w:tc>
        <w:tc>
          <w:tcPr>
            <w:tcW w:w="633"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r>
        <w:trPr/>
        <w:tc>
          <w:tcPr>
            <w:tcW w:w="4828" w:type="dxa"/>
            <w:tcBorders/>
          </w:tcPr>
          <w:p>
            <w:pPr>
              <w:pStyle w:val="TableContents"/>
              <w:bidi w:val="0"/>
              <w:spacing w:before="0" w:after="0"/>
              <w:jc w:val="left"/>
              <w:rPr>
                <w:rFonts w:ascii="Times New Roman" w:hAnsi="Times New Roman"/>
                <w:sz w:val="20"/>
              </w:rPr>
            </w:pPr>
            <w:r>
              <w:rPr>
                <w:rFonts w:ascii="Times New Roman" w:hAnsi="Times New Roman"/>
                <w:sz w:val="20"/>
              </w:rPr>
              <w:t>_____________ (___%)</w:t>
            </w:r>
          </w:p>
        </w:tc>
        <w:tc>
          <w:tcPr>
            <w:tcW w:w="785" w:type="dxa"/>
            <w:tcBorders/>
            <w:vAlign w:val="bottom"/>
          </w:tcPr>
          <w:p>
            <w:pPr>
              <w:pStyle w:val="TableContents"/>
              <w:bidi w:val="0"/>
              <w:spacing w:before="0" w:after="283"/>
              <w:jc w:val="left"/>
              <w:rPr/>
            </w:pPr>
            <w:r>
              <w:rPr/>
              <w:t>  </w:t>
            </w:r>
          </w:p>
        </w:tc>
        <w:tc>
          <w:tcPr>
            <w:tcW w:w="632" w:type="dxa"/>
            <w:tcBorders/>
            <w:vAlign w:val="bottom"/>
          </w:tcPr>
          <w:p>
            <w:pPr>
              <w:pStyle w:val="TableContents"/>
              <w:bidi w:val="0"/>
              <w:spacing w:before="0" w:after="283"/>
              <w:jc w:val="left"/>
              <w:rPr>
                <w:sz w:val="4"/>
                <w:szCs w:val="4"/>
              </w:rPr>
            </w:pPr>
            <w:r>
              <w:rPr>
                <w:sz w:val="4"/>
                <w:szCs w:val="4"/>
              </w:rPr>
            </w:r>
          </w:p>
        </w:tc>
        <w:tc>
          <w:tcPr>
            <w:tcW w:w="633"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r>
      <w:tr>
        <w:trPr/>
        <w:tc>
          <w:tcPr>
            <w:tcW w:w="48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_____________ (___%)</w:t>
            </w:r>
          </w:p>
        </w:tc>
        <w:tc>
          <w:tcPr>
            <w:tcW w:w="785" w:type="dxa"/>
            <w:tcBorders/>
            <w:shd w:fill="CCEEFF" w:val="clear"/>
            <w:vAlign w:val="bottom"/>
          </w:tcPr>
          <w:p>
            <w:pPr>
              <w:pStyle w:val="TableContents"/>
              <w:bidi w:val="0"/>
              <w:spacing w:before="0" w:after="283"/>
              <w:jc w:val="left"/>
              <w:rPr/>
            </w:pPr>
            <w:r>
              <w:rPr/>
              <w:t>  </w:t>
            </w:r>
          </w:p>
        </w:tc>
        <w:tc>
          <w:tcPr>
            <w:tcW w:w="632" w:type="dxa"/>
            <w:tcBorders/>
            <w:shd w:fill="CCEEFF" w:val="clear"/>
            <w:vAlign w:val="bottom"/>
          </w:tcPr>
          <w:p>
            <w:pPr>
              <w:pStyle w:val="TableContents"/>
              <w:bidi w:val="0"/>
              <w:spacing w:before="0" w:after="283"/>
              <w:jc w:val="left"/>
              <w:rPr>
                <w:sz w:val="4"/>
                <w:szCs w:val="4"/>
              </w:rPr>
            </w:pPr>
            <w:r>
              <w:rPr>
                <w:sz w:val="4"/>
                <w:szCs w:val="4"/>
              </w:rPr>
            </w:r>
          </w:p>
        </w:tc>
        <w:tc>
          <w:tcPr>
            <w:tcW w:w="633"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r>
        <w:trPr/>
        <w:tc>
          <w:tcPr>
            <w:tcW w:w="4828" w:type="dxa"/>
            <w:tcBorders/>
          </w:tcPr>
          <w:p>
            <w:pPr>
              <w:pStyle w:val="TableContents"/>
              <w:bidi w:val="0"/>
              <w:spacing w:before="0" w:after="0"/>
              <w:jc w:val="left"/>
              <w:rPr>
                <w:rFonts w:ascii="Times New Roman" w:hAnsi="Times New Roman"/>
                <w:sz w:val="20"/>
              </w:rPr>
            </w:pPr>
            <w:r>
              <w:rPr>
                <w:rFonts w:ascii="Times New Roman" w:hAnsi="Times New Roman"/>
                <w:sz w:val="20"/>
              </w:rPr>
              <w:t>_____________ (___%)</w:t>
            </w:r>
          </w:p>
        </w:tc>
        <w:tc>
          <w:tcPr>
            <w:tcW w:w="785" w:type="dxa"/>
            <w:tcBorders/>
            <w:vAlign w:val="bottom"/>
          </w:tcPr>
          <w:p>
            <w:pPr>
              <w:pStyle w:val="TableContents"/>
              <w:bidi w:val="0"/>
              <w:spacing w:before="0" w:after="283"/>
              <w:jc w:val="left"/>
              <w:rPr/>
            </w:pPr>
            <w:r>
              <w:rPr/>
              <w:t>  </w:t>
            </w:r>
          </w:p>
        </w:tc>
        <w:tc>
          <w:tcPr>
            <w:tcW w:w="632" w:type="dxa"/>
            <w:tcBorders/>
            <w:vAlign w:val="bottom"/>
          </w:tcPr>
          <w:p>
            <w:pPr>
              <w:pStyle w:val="TableContents"/>
              <w:bidi w:val="0"/>
              <w:spacing w:before="0" w:after="283"/>
              <w:jc w:val="left"/>
              <w:rPr>
                <w:sz w:val="4"/>
                <w:szCs w:val="4"/>
              </w:rPr>
            </w:pPr>
            <w:r>
              <w:rPr>
                <w:sz w:val="4"/>
                <w:szCs w:val="4"/>
              </w:rPr>
            </w:r>
          </w:p>
        </w:tc>
        <w:tc>
          <w:tcPr>
            <w:tcW w:w="633"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Administrator may at any time accelerate the vesting schedule specified in this Paragraph 2.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Termination of Service Relationship</w:t>
      </w:r>
      <w:r>
        <w:rPr>
          <w:rFonts w:ascii="Times New Roman" w:hAnsi="Times New Roman"/>
          <w:sz w:val="20"/>
        </w:rPr>
        <w:t xml:space="preserve">. If the Grantee’s Service Relationship with the Company and its Subsidiaries ceases for any reason (including death or disability, which such disability is reasonably determined by the Administrator in accordance with Section 409A and applicable law)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Issuance of Shares</w:t>
      </w:r>
      <w:r>
        <w:rPr>
          <w:rFonts w:ascii="Times New Roman" w:hAnsi="Times New Roman"/>
          <w:sz w:val="20"/>
        </w:rPr>
        <w:t xml:space="preserve">. As soon as practicable following each Vesting Date (but in no event later than two and one-half months after the end of the year in which the Vesting Date occurs), the Company shall issue to the Grantee the number of Shares equal to the aggregate number of Restricted Stock Units that have vested pursuant to Paragraph 2 of this Agreement on such date and the Grantee shall thereafter have all the rights of a shareholder of the Company with respect to such shares.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Incorporation of Plan</w:t>
      </w:r>
      <w:r>
        <w:rPr>
          <w:rFonts w:ascii="Times New Roman" w:hAnsi="Times New Roman"/>
          <w:sz w:val="20"/>
        </w:rPr>
        <w:t xml:space="preserve">.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Tax Withholding</w:t>
      </w:r>
      <w:r>
        <w:rPr>
          <w:rFonts w:ascii="Times New Roman" w:hAnsi="Times New Roman"/>
          <w:sz w:val="20"/>
        </w:rPr>
        <w:t xml:space="preserve">.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minimum tax withholding obligation to be satisfied, in whole or in part, by withholding from Shares to be issued to the Grantee a number of Shares with an aggregate Fair Market Value that would satisfy the withholding amount due.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Section 409A of the Code.</w:t>
      </w:r>
      <w:r>
        <w:rPr>
          <w:rFonts w:ascii="Times New Roman" w:hAnsi="Times New Roman"/>
          <w:sz w:val="20"/>
        </w:rPr>
        <w:t xml:space="preserve"> This Agreement shall be interpreted in such a manner that all provisions relating to the settlement of the Award are exempt from the requirements of Section 409A of the Code as “short-term deferrals” as described in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No Obligation to Continue Employment</w:t>
      </w:r>
      <w:r>
        <w:rPr>
          <w:rFonts w:ascii="Times New Roman" w:hAnsi="Times New Roman"/>
          <w:sz w:val="20"/>
        </w:rPr>
        <w:t xml:space="preserve">. Neither the Company nor any Subsidiary is obligated by or as a result of the Plan or this Agreement to continue the Grantee in employment and neither the Plan nor this Agreement shall interfere in any way with the right of the Company or any Subsidiary to terminate the employment of the Grantee at any time.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Integration</w:t>
      </w:r>
      <w:r>
        <w:rPr>
          <w:rFonts w:ascii="Times New Roman" w:hAnsi="Times New Roman"/>
          <w:sz w:val="20"/>
        </w:rPr>
        <w:t xml:space="preserve">. This Agreement constitutes the entire agreement between the parties with respect to this Award and supersedes all prior agreements and discussions between the parties concerning such subject matter.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Data Privacy Consent</w:t>
      </w:r>
      <w:r>
        <w:rPr>
          <w:rFonts w:ascii="Times New Roman" w:hAnsi="Times New Roman"/>
          <w:sz w:val="20"/>
        </w:rPr>
        <w:t xml:space="preserve">.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Notices</w:t>
      </w:r>
      <w:r>
        <w:rPr>
          <w:rFonts w:ascii="Times New Roman" w:hAnsi="Times New Roman"/>
          <w:sz w:val="20"/>
        </w:rPr>
        <w:t xml:space="preserve">.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99"/>
        <w:gridCol w:w="148"/>
        <w:gridCol w:w="3135"/>
      </w:tblGrid>
      <w:tr>
        <w:trPr/>
        <w:tc>
          <w:tcPr>
            <w:tcW w:w="799"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313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DAMORA THERAPEUTICS, INC.</w:t>
            </w:r>
          </w:p>
        </w:tc>
      </w:tr>
      <w:tr>
        <w:trPr>
          <w:trHeight w:val="240" w:hRule="atLeast"/>
        </w:trPr>
        <w:tc>
          <w:tcPr>
            <w:tcW w:w="799" w:type="dxa"/>
            <w:tcBorders/>
            <w:vAlign w:val="center"/>
          </w:tcPr>
          <w:p>
            <w:pPr>
              <w:pStyle w:val="TableContents"/>
              <w:bidi w:val="0"/>
              <w:spacing w:before="0" w:after="283"/>
              <w:jc w:val="left"/>
              <w:rPr>
                <w:sz w:val="4"/>
                <w:szCs w:val="4"/>
              </w:rPr>
            </w:pPr>
            <w:r>
              <w:rPr>
                <w:sz w:val="4"/>
                <w:szCs w:val="4"/>
              </w:rPr>
            </w:r>
          </w:p>
        </w:tc>
        <w:tc>
          <w:tcPr>
            <w:tcW w:w="3283" w:type="dxa"/>
            <w:gridSpan w:val="2"/>
            <w:tcBorders/>
            <w:vAlign w:val="center"/>
          </w:tcPr>
          <w:p>
            <w:pPr>
              <w:pStyle w:val="TableContents"/>
              <w:bidi w:val="0"/>
              <w:spacing w:before="0" w:after="283"/>
              <w:jc w:val="left"/>
              <w:rPr>
                <w:sz w:val="4"/>
                <w:szCs w:val="4"/>
              </w:rPr>
            </w:pPr>
            <w:r>
              <w:rPr>
                <w:sz w:val="4"/>
                <w:szCs w:val="4"/>
              </w:rPr>
            </w:r>
          </w:p>
        </w:tc>
      </w:tr>
      <w:tr>
        <w:trPr/>
        <w:tc>
          <w:tcPr>
            <w:tcW w:w="799" w:type="dxa"/>
            <w:tcBorders/>
          </w:tcPr>
          <w:p>
            <w:pPr>
              <w:pStyle w:val="TableContents"/>
              <w:bidi w:val="0"/>
              <w:spacing w:before="0" w:after="283"/>
              <w:jc w:val="left"/>
              <w:rPr/>
            </w:pPr>
            <w:r>
              <w:rPr/>
              <w:t>By:</w:t>
            </w:r>
          </w:p>
        </w:tc>
        <w:tc>
          <w:tcPr>
            <w:tcW w:w="148" w:type="dxa"/>
            <w:tcBorders/>
            <w:vAlign w:val="bottom"/>
          </w:tcPr>
          <w:p>
            <w:pPr>
              <w:pStyle w:val="TableContents"/>
              <w:bidi w:val="0"/>
              <w:spacing w:before="0" w:after="283"/>
              <w:jc w:val="left"/>
              <w:rPr/>
            </w:pPr>
            <w:r>
              <w:rPr/>
              <w:t> </w:t>
            </w:r>
          </w:p>
        </w:tc>
        <w:tc>
          <w:tcPr>
            <w:tcW w:w="3135" w:type="dxa"/>
            <w:tcBorders/>
          </w:tcPr>
          <w:p>
            <w:pPr>
              <w:pStyle w:val="TableContents"/>
              <w:pBdr>
                <w:bottom w:val="single" w:sz="2" w:space="1" w:color="000000"/>
              </w:pBdr>
              <w:bidi w:val="0"/>
              <w:spacing w:before="0" w:after="20"/>
              <w:jc w:val="left"/>
              <w:rPr/>
            </w:pPr>
            <w:r>
              <w:rPr/>
              <w:t> </w:t>
            </w:r>
          </w:p>
        </w:tc>
      </w:tr>
      <w:tr>
        <w:trPr/>
        <w:tc>
          <w:tcPr>
            <w:tcW w:w="799"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3135" w:type="dxa"/>
            <w:tcBorders/>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Agreement is hereby accepted and the terms and conditions thereof hereby agreed to by the undersigned. Electronic acceptance of this Agreement pursuant to the Company’s instructions to the Grantee (including through an online acceptance process) is acceptable. </w:t>
      </w:r>
    </w:p>
    <w:p>
      <w:pPr>
        <w:pStyle w:val="TextBody"/>
        <w:bidi w:val="0"/>
        <w:spacing w:before="240" w:after="0"/>
        <w:jc w:val="left"/>
        <w:rPr>
          <w:rFonts w:ascii="Times New Roman" w:hAnsi="Times New Roman"/>
          <w:sz w:val="20"/>
        </w:rPr>
      </w:pPr>
      <w:r>
        <w:rPr>
          <w:rFonts w:ascii="Times New Roman" w:hAnsi="Times New Roman"/>
          <w:sz w:val="20"/>
        </w:rPr>
        <w:t xml:space="preserve">Dated: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Grantee’s Signature</w:t>
            </w:r>
          </w:p>
        </w:tc>
      </w:tr>
      <w:tr>
        <w:trPr>
          <w:trHeight w:val="12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Grantee’s name and address:</w:t>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right"/>
        <w:rPr>
          <w:rFonts w:ascii="Times New Roman" w:hAnsi="Times New Roman"/>
          <w:b/>
          <w:sz w:val="20"/>
        </w:rPr>
      </w:pPr>
      <w:bookmarkStart w:id="15" w:name="d135820dex51.htm"/>
      <w:bookmarkStart w:id="16" w:name="ksd135820dex51"/>
      <w:bookmarkEnd w:id="15"/>
      <w:bookmarkEnd w:id="16"/>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638300" cy="361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6"/>
                    <a:stretch>
                      <a:fillRect/>
                    </a:stretch>
                  </pic:blipFill>
                  <pic:spPr bwMode="auto">
                    <a:xfrm>
                      <a:off x="0" y="0"/>
                      <a:ext cx="1638300" cy="3619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10 August 2026 </w:t>
      </w:r>
    </w:p>
    <w:p>
      <w:pPr>
        <w:pStyle w:val="TextBody"/>
        <w:bidi w:val="0"/>
        <w:spacing w:before="240" w:after="0"/>
        <w:jc w:val="left"/>
        <w:rPr>
          <w:rFonts w:ascii="Times New Roman" w:hAnsi="Times New Roman"/>
          <w:sz w:val="20"/>
        </w:rPr>
      </w:pPr>
      <w:r>
        <w:rPr>
          <w:rFonts w:ascii="Times New Roman" w:hAnsi="Times New Roman"/>
          <w:sz w:val="20"/>
        </w:rPr>
        <w:t xml:space="preserve">Damora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c/o Walkers Corporate Limited </w:t>
      </w:r>
    </w:p>
    <w:p>
      <w:pPr>
        <w:pStyle w:val="TextBody"/>
        <w:bidi w:val="0"/>
        <w:spacing w:before="0" w:after="0"/>
        <w:jc w:val="left"/>
        <w:rPr>
          <w:rFonts w:ascii="Times New Roman" w:hAnsi="Times New Roman"/>
          <w:sz w:val="20"/>
        </w:rPr>
      </w:pPr>
      <w:r>
        <w:rPr>
          <w:rFonts w:ascii="Times New Roman" w:hAnsi="Times New Roman"/>
          <w:sz w:val="20"/>
        </w:rPr>
        <w:t xml:space="preserve">190 Elgin Avenue </w:t>
      </w:r>
    </w:p>
    <w:p>
      <w:pPr>
        <w:pStyle w:val="TextBody"/>
        <w:bidi w:val="0"/>
        <w:spacing w:before="0" w:after="0"/>
        <w:jc w:val="left"/>
        <w:rPr>
          <w:rFonts w:ascii="Times New Roman" w:hAnsi="Times New Roman"/>
          <w:sz w:val="20"/>
        </w:rPr>
      </w:pPr>
      <w:r>
        <w:rPr>
          <w:rFonts w:ascii="Times New Roman" w:hAnsi="Times New Roman"/>
          <w:sz w:val="20"/>
        </w:rPr>
        <w:t xml:space="preserve">George Town </w:t>
      </w:r>
    </w:p>
    <w:p>
      <w:pPr>
        <w:pStyle w:val="TextBody"/>
        <w:bidi w:val="0"/>
        <w:spacing w:before="0" w:after="0"/>
        <w:jc w:val="left"/>
        <w:rPr>
          <w:rFonts w:ascii="Times New Roman" w:hAnsi="Times New Roman"/>
          <w:sz w:val="20"/>
        </w:rPr>
      </w:pPr>
      <w:r>
        <w:rPr>
          <w:rFonts w:ascii="Times New Roman" w:hAnsi="Times New Roman"/>
          <w:sz w:val="20"/>
        </w:rPr>
        <w:t xml:space="preserve">Grand Cayman KY1-9008 </w:t>
      </w:r>
    </w:p>
    <w:p>
      <w:pPr>
        <w:pStyle w:val="TextBody"/>
        <w:bidi w:val="0"/>
        <w:spacing w:before="0" w:after="0"/>
        <w:jc w:val="left"/>
        <w:rPr>
          <w:rFonts w:ascii="Times New Roman" w:hAnsi="Times New Roman"/>
          <w:sz w:val="20"/>
        </w:rPr>
      </w:pPr>
      <w:r>
        <w:rPr>
          <w:rFonts w:ascii="Times New Roman" w:hAnsi="Times New Roman"/>
          <w:sz w:val="20"/>
        </w:rPr>
        <w:t xml:space="preserve">Cayman Islands </w:t>
      </w:r>
    </w:p>
    <w:p>
      <w:pPr>
        <w:pStyle w:val="TextBody"/>
        <w:bidi w:val="0"/>
        <w:spacing w:before="240" w:after="0"/>
        <w:jc w:val="left"/>
        <w:rPr>
          <w:rFonts w:ascii="Times New Roman" w:hAnsi="Times New Roman"/>
          <w:sz w:val="20"/>
        </w:rPr>
      </w:pPr>
      <w:r>
        <w:rPr>
          <w:rFonts w:ascii="Times New Roman" w:hAnsi="Times New Roman"/>
          <w:sz w:val="20"/>
        </w:rPr>
        <w:t xml:space="preserve">Dear Addressee </w:t>
      </w:r>
    </w:p>
    <w:p>
      <w:pPr>
        <w:pStyle w:val="TextBody"/>
        <w:bidi w:val="0"/>
        <w:spacing w:before="240" w:after="0"/>
        <w:jc w:val="left"/>
        <w:rPr>
          <w:rFonts w:ascii="Times New Roman" w:hAnsi="Times New Roman"/>
          <w:b/>
          <w:sz w:val="20"/>
        </w:rPr>
      </w:pPr>
      <w:r>
        <w:rPr>
          <w:rFonts w:ascii="Times New Roman" w:hAnsi="Times New Roman"/>
          <w:b/>
          <w:sz w:val="20"/>
        </w:rPr>
        <w:t xml:space="preserve">DAMORA THERAPEUTICS, INC. </w:t>
      </w:r>
    </w:p>
    <w:p>
      <w:pPr>
        <w:pStyle w:val="TextBody"/>
        <w:bidi w:val="0"/>
        <w:spacing w:before="240" w:after="0"/>
        <w:jc w:val="left"/>
        <w:rPr>
          <w:rFonts w:ascii="Times New Roman" w:hAnsi="Times New Roman"/>
          <w:sz w:val="20"/>
        </w:rPr>
      </w:pPr>
      <w:r>
        <w:rPr>
          <w:rFonts w:ascii="Times New Roman" w:hAnsi="Times New Roman"/>
          <w:sz w:val="20"/>
        </w:rPr>
        <w:t>We have acted as Cayman Islands legal advisers to Damora Therapeutics, Inc. (the “</w:t>
      </w:r>
      <w:r>
        <w:rPr>
          <w:rFonts w:ascii="Times New Roman" w:hAnsi="Times New Roman"/>
          <w:b/>
          <w:sz w:val="20"/>
        </w:rPr>
        <w:t>Company”</w:t>
      </w:r>
      <w:r>
        <w:rPr>
          <w:rFonts w:ascii="Times New Roman" w:hAnsi="Times New Roman"/>
          <w:sz w:val="20"/>
        </w:rPr>
        <w:t>), which, prior to its registration by way of continuation as an exempted company limited by shares under the Companies Act (as amended) of the Cayman Islands (the “</w:t>
      </w:r>
      <w:r>
        <w:rPr>
          <w:rFonts w:ascii="Times New Roman" w:hAnsi="Times New Roman"/>
          <w:b/>
          <w:sz w:val="20"/>
        </w:rPr>
        <w:t>Companies Act”</w:t>
      </w:r>
      <w:r>
        <w:rPr>
          <w:rFonts w:ascii="Times New Roman" w:hAnsi="Times New Roman"/>
          <w:sz w:val="20"/>
        </w:rPr>
        <w:t>) on 16 July 2026 (the “</w:t>
      </w:r>
      <w:r>
        <w:rPr>
          <w:rFonts w:ascii="Times New Roman" w:hAnsi="Times New Roman"/>
          <w:b/>
          <w:sz w:val="20"/>
        </w:rPr>
        <w:t>Redomestication”</w:t>
      </w:r>
      <w:r>
        <w:rPr>
          <w:rFonts w:ascii="Times New Roman" w:hAnsi="Times New Roman"/>
          <w:sz w:val="20"/>
        </w:rPr>
        <w:t>), was a corporation incorporated under the laws of the State of Delaware (the “</w:t>
      </w:r>
      <w:r>
        <w:rPr>
          <w:rFonts w:ascii="Times New Roman" w:hAnsi="Times New Roman"/>
          <w:b/>
          <w:sz w:val="20"/>
        </w:rPr>
        <w:t>Prior Jurisdiction”</w:t>
      </w:r>
      <w:r>
        <w:rPr>
          <w:rFonts w:ascii="Times New Roman" w:hAnsi="Times New Roman"/>
          <w:sz w:val="20"/>
        </w:rPr>
        <w:t>). We have been asked to provide this legal opinion to you with regards to the laws of the Cayman Islands in connection with Post-Effective Amendment No. 1 on Form S-8 to be filed by the Company with the United States Securities and Exchange Commission pursuant to Rule 414(d) under the U.S. Securities Act of 1933, as amended (the “Securities Act”) (including all supplements and amendments thereto, the “</w:t>
      </w:r>
      <w:r>
        <w:rPr>
          <w:rFonts w:ascii="Times New Roman" w:hAnsi="Times New Roman"/>
          <w:b/>
          <w:sz w:val="20"/>
        </w:rPr>
        <w:t>Registration Statement</w:t>
      </w:r>
      <w:r>
        <w:rPr>
          <w:rFonts w:ascii="Times New Roman" w:hAnsi="Times New Roman"/>
          <w:sz w:val="20"/>
        </w:rPr>
        <w:t xml:space="preserve">”), by which the Company, as successor to Damora Therapeutics, Inc., a Delaware corporation, expressly adopts as its own the registration statements on Form S-8 bearing Registration Nos. 333-249852, 333-254805, 333-262823, 333-270380, 333-277792, 333-285920, 333-292564 and 333-294492, which registration statements relate in aggregate to up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9,299,832 ordinary shares with a par value of US$0.00001 per share in the capital of the Company (“</w:t>
            </w:r>
            <w:r>
              <w:rPr>
                <w:rFonts w:ascii="Times New Roman" w:hAnsi="Times New Roman"/>
                <w:b/>
                <w:sz w:val="20"/>
              </w:rPr>
              <w:t>Ordinary Shares</w:t>
            </w:r>
            <w:r>
              <w:rPr>
                <w:rFonts w:ascii="Times New Roman" w:hAnsi="Times New Roman"/>
                <w:sz w:val="20"/>
              </w:rPr>
              <w:t>”) issuable under the Damora Therapeutics, Inc. 2026 Equity Incentive Plan (as amended and restated, the “</w:t>
            </w:r>
            <w:r>
              <w:rPr>
                <w:rFonts w:ascii="Times New Roman" w:hAnsi="Times New Roman"/>
                <w:b/>
                <w:sz w:val="20"/>
              </w:rPr>
              <w:t>2026 EI Plan</w:t>
            </w:r>
            <w:r>
              <w:rPr>
                <w:rFonts w:ascii="Times New Roman" w:hAnsi="Times New Roman"/>
                <w:sz w:val="20"/>
              </w:rPr>
              <w:t>”) (the “</w:t>
            </w:r>
            <w:r>
              <w:rPr>
                <w:rFonts w:ascii="Times New Roman" w:hAnsi="Times New Roman"/>
                <w:b/>
                <w:sz w:val="20"/>
              </w:rPr>
              <w:t>2026 EI Plan Shares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619,989 Ordinary Shares issuable under the Damora Therapeutics, Inc. 2026 Employee Stock Purchase Plan (as amended and restated, the “</w:t>
            </w:r>
            <w:r>
              <w:rPr>
                <w:rFonts w:ascii="Times New Roman" w:hAnsi="Times New Roman"/>
                <w:b/>
                <w:sz w:val="20"/>
              </w:rPr>
              <w:t>2026 SP Plan</w:t>
            </w:r>
            <w:r>
              <w:rPr>
                <w:rFonts w:ascii="Times New Roman" w:hAnsi="Times New Roman"/>
                <w:sz w:val="20"/>
              </w:rPr>
              <w:t>”) (the “</w:t>
            </w:r>
            <w:r>
              <w:rPr>
                <w:rFonts w:ascii="Times New Roman" w:hAnsi="Times New Roman"/>
                <w:b/>
                <w:sz w:val="20"/>
              </w:rPr>
              <w:t>2026 SP Plan Shares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434,508 Ordinary Shares issuable under the Damora Therapeutics, Inc. 2025 Equity Incentive Plan (as amended and restated, the “</w:t>
            </w:r>
            <w:r>
              <w:rPr>
                <w:rFonts w:ascii="Times New Roman" w:hAnsi="Times New Roman"/>
                <w:b/>
                <w:sz w:val="20"/>
              </w:rPr>
              <w:t>2025 Plan</w:t>
            </w:r>
            <w:r>
              <w:rPr>
                <w:rFonts w:ascii="Times New Roman" w:hAnsi="Times New Roman"/>
                <w:sz w:val="20"/>
              </w:rPr>
              <w:t>”) (the “</w:t>
            </w:r>
            <w:r>
              <w:rPr>
                <w:rFonts w:ascii="Times New Roman" w:hAnsi="Times New Roman"/>
                <w:b/>
                <w:sz w:val="20"/>
              </w:rPr>
              <w:t>2025 Plan Shares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8,000,000 Ordinary Shares issuable under the Damora Therapeutics, Inc. 2022 Inducement Plan (as amended and restated, the “</w:t>
            </w:r>
            <w:r>
              <w:rPr>
                <w:rFonts w:ascii="Times New Roman" w:hAnsi="Times New Roman"/>
                <w:b/>
                <w:sz w:val="20"/>
              </w:rPr>
              <w:t>Inducement Plan</w:t>
            </w:r>
            <w:r>
              <w:rPr>
                <w:rFonts w:ascii="Times New Roman" w:hAnsi="Times New Roman"/>
                <w:sz w:val="20"/>
              </w:rPr>
              <w:t>”) (the “</w:t>
            </w:r>
            <w:r>
              <w:rPr>
                <w:rFonts w:ascii="Times New Roman" w:hAnsi="Times New Roman"/>
                <w:b/>
                <w:sz w:val="20"/>
              </w:rPr>
              <w:t>Inducement Plan Shares</w:t>
            </w:r>
            <w:r>
              <w:rPr>
                <w:rFonts w:ascii="Times New Roman" w:hAnsi="Times New Roman"/>
                <w:sz w:val="20"/>
              </w:rPr>
              <w:t xml:space="preserve">”); </w:t>
            </w:r>
          </w:p>
        </w:tc>
      </w:tr>
    </w:tbl>
    <w:p>
      <w:pPr>
        <w:pStyle w:val="TextBody"/>
        <w:bidi w:val="0"/>
        <w:spacing w:before="240" w:after="0"/>
        <w:jc w:val="right"/>
        <w:rPr>
          <w:rFonts w:ascii="Times New Roman" w:hAnsi="Times New Roman"/>
          <w:b/>
          <w:sz w:val="20"/>
        </w:rPr>
      </w:pPr>
      <w:r>
        <w:rPr>
          <w:rFonts w:ascii="Times New Roman" w:hAnsi="Times New Roman"/>
          <w:b/>
          <w:sz w:val="20"/>
        </w:rPr>
        <w:t xml:space="preserve">Walkers </w:t>
      </w:r>
    </w:p>
    <w:p>
      <w:pPr>
        <w:pStyle w:val="TextBody"/>
        <w:bidi w:val="0"/>
        <w:spacing w:before="120" w:after="0"/>
        <w:jc w:val="right"/>
        <w:rPr>
          <w:rFonts w:ascii="Times New Roman" w:hAnsi="Times New Roman"/>
          <w:sz w:val="16"/>
        </w:rPr>
      </w:pPr>
      <w:r>
        <w:rPr>
          <w:rFonts w:ascii="Times New Roman" w:hAnsi="Times New Roman"/>
          <w:sz w:val="16"/>
        </w:rPr>
        <w:t xml:space="preserve">190 Elgin Avenue, George Town </w:t>
      </w:r>
    </w:p>
    <w:p>
      <w:pPr>
        <w:pStyle w:val="TextBody"/>
        <w:bidi w:val="0"/>
        <w:spacing w:before="120" w:after="0"/>
        <w:jc w:val="right"/>
        <w:rPr>
          <w:rFonts w:ascii="Times New Roman" w:hAnsi="Times New Roman"/>
          <w:sz w:val="16"/>
        </w:rPr>
      </w:pPr>
      <w:r>
        <w:rPr>
          <w:rFonts w:ascii="Times New Roman" w:hAnsi="Times New Roman"/>
          <w:sz w:val="16"/>
        </w:rPr>
        <w:t xml:space="preserve">Grand Cayman KY1-9001, Cayman Islands </w:t>
      </w:r>
    </w:p>
    <w:p>
      <w:pPr>
        <w:pStyle w:val="TextBody"/>
        <w:bidi w:val="0"/>
        <w:spacing w:before="120" w:after="0"/>
        <w:jc w:val="right"/>
        <w:rPr>
          <w:rFonts w:ascii="Times New Roman" w:hAnsi="Times New Roman"/>
          <w:sz w:val="16"/>
        </w:rPr>
      </w:pPr>
      <w:r>
        <w:rPr>
          <w:rFonts w:ascii="Times New Roman" w:hAnsi="Times New Roman"/>
          <w:b/>
          <w:sz w:val="16"/>
        </w:rPr>
        <w:t>T</w:t>
      </w:r>
      <w:r>
        <w:rPr>
          <w:rFonts w:ascii="Times New Roman" w:hAnsi="Times New Roman"/>
          <w:sz w:val="16"/>
        </w:rPr>
        <w:t xml:space="preserve"> +1 345 949 0100 </w:t>
      </w:r>
      <w:r>
        <w:rPr>
          <w:rFonts w:ascii="Times New Roman" w:hAnsi="Times New Roman"/>
          <w:b/>
          <w:sz w:val="16"/>
        </w:rPr>
        <w:t>F</w:t>
      </w:r>
      <w:r>
        <w:rPr>
          <w:rFonts w:ascii="Times New Roman" w:hAnsi="Times New Roman"/>
          <w:sz w:val="16"/>
        </w:rPr>
        <w:t xml:space="preserve"> +1 345 949 7886 www.walkersglobal.com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638300" cy="3619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7"/>
                    <a:stretch>
                      <a:fillRect/>
                    </a:stretch>
                  </pic:blipFill>
                  <pic:spPr bwMode="auto">
                    <a:xfrm>
                      <a:off x="0" y="0"/>
                      <a:ext cx="1638300" cy="36195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100,497 Ordinary Shares issuable under the Damora Therapeutics, Inc. 2020 Stock Option and Grant Plan (as amended and restated, the “</w:t>
            </w:r>
            <w:r>
              <w:rPr>
                <w:rFonts w:ascii="Times New Roman" w:hAnsi="Times New Roman"/>
                <w:b/>
                <w:sz w:val="20"/>
              </w:rPr>
              <w:t>Stock Option and Grant Plan</w:t>
            </w:r>
            <w:r>
              <w:rPr>
                <w:rFonts w:ascii="Times New Roman" w:hAnsi="Times New Roman"/>
                <w:sz w:val="20"/>
              </w:rPr>
              <w:t>”) (the “</w:t>
            </w:r>
            <w:r>
              <w:rPr>
                <w:rFonts w:ascii="Times New Roman" w:hAnsi="Times New Roman"/>
                <w:b/>
                <w:sz w:val="20"/>
              </w:rPr>
              <w:t>Stock Option and Grant Plan Shares</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337,461 Ordinary Shares issuable under the Damora Therapeutics, Inc. 2020 Equity Incentive Plan (as amended and restated, the “</w:t>
            </w:r>
            <w:r>
              <w:rPr>
                <w:rFonts w:ascii="Times New Roman" w:hAnsi="Times New Roman"/>
                <w:b/>
                <w:sz w:val="20"/>
              </w:rPr>
              <w:t>Equity I Plan</w:t>
            </w:r>
            <w:r>
              <w:rPr>
                <w:rFonts w:ascii="Times New Roman" w:hAnsi="Times New Roman"/>
                <w:sz w:val="20"/>
              </w:rPr>
              <w:t>”, and together with the 2026 EI Plan, 2026 SP Plan, 2025 Plan, Inducement Plan, Stock Option and Grant Plan, the “</w:t>
            </w:r>
            <w:r>
              <w:rPr>
                <w:rFonts w:ascii="Times New Roman" w:hAnsi="Times New Roman"/>
                <w:b/>
                <w:sz w:val="20"/>
              </w:rPr>
              <w:t>Plans</w:t>
            </w:r>
            <w:r>
              <w:rPr>
                <w:rFonts w:ascii="Times New Roman" w:hAnsi="Times New Roman"/>
                <w:sz w:val="20"/>
              </w:rPr>
              <w:t>”) (the “</w:t>
            </w:r>
            <w:r>
              <w:rPr>
                <w:rFonts w:ascii="Times New Roman" w:hAnsi="Times New Roman"/>
                <w:b/>
                <w:sz w:val="20"/>
              </w:rPr>
              <w:t>Equity I Plan Shares</w:t>
            </w:r>
            <w:r>
              <w:rPr>
                <w:rFonts w:ascii="Times New Roman" w:hAnsi="Times New Roman"/>
                <w:sz w:val="20"/>
              </w:rPr>
              <w:t>”, and together with the 2026 EI Plan Shares, 2026 SP Plan Shares, 2025 Plan Shares, Inducement Plan Shares, Stock Option and Grant Plan Shares, the “</w:t>
            </w:r>
            <w:r>
              <w:rPr>
                <w:rFonts w:ascii="Times New Roman" w:hAnsi="Times New Roman"/>
                <w:b/>
                <w:sz w:val="20"/>
              </w:rPr>
              <w:t>Shares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purposes of giving this opinion, we have examined and relied upon the originals or copies of the documents listed in Schedule 1. </w:t>
      </w:r>
    </w:p>
    <w:p>
      <w:pPr>
        <w:pStyle w:val="TextBody"/>
        <w:bidi w:val="0"/>
        <w:spacing w:before="240" w:after="0"/>
        <w:jc w:val="left"/>
        <w:rPr>
          <w:rFonts w:ascii="Times New Roman" w:hAnsi="Times New Roman"/>
          <w:sz w:val="20"/>
        </w:rPr>
      </w:pPr>
      <w:r>
        <w:rPr>
          <w:rFonts w:ascii="Times New Roman" w:hAnsi="Times New Roman"/>
          <w:sz w:val="20"/>
        </w:rPr>
        <w:t xml:space="preserve">We are Cayman Islands Attorneys at Law and express no opinion as to any laws other than the laws of the Cayman Islands in force and as interpreted at the date of this opinion. We have not, for the purposes of this opinion, made any investigation of the laws, rules or regulations of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Based upon the foregoing examinations and assumptions and upon such searches as we have conducted and having regard to legal considerations which we consider relevant, and under the laws of the Cayman Islands, we give the following opinions in relation to the matters set out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The Company is an exempted company registered by way of continuation with limited liability, validly existing under the laws of the Cayman Islands and in good standing with the Registrar of Companies in the Cayman Islands (the “</w:t>
            </w:r>
            <w:r>
              <w:rPr>
                <w:rFonts w:ascii="Times New Roman" w:hAnsi="Times New Roman"/>
                <w:b/>
                <w:sz w:val="20"/>
              </w:rPr>
              <w:t>Registrar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have been duly authorised by all necessary corporate action of the Company and, upon the issue of the Shares (by the entry of the name of the registered owner thereof in the register of members of the Company confirming that such Shares have been issued credited as fully paid), delivery and payment therefor by the purchaser in accordance with the Memorandum and Articles of Association (as defined in Schedule 1) and the Plans in the manner contemplated by the Registration Statement, the Shares will be validly created, legally issued, fully paid and non-assessable (meaning that no additional sums may be levied on the holder thereof by the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opinion is given based upon the following assumptions: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necessary actions were taken under the applicable U.S. laws to authorise and permit the Redomestication, and any and all consents, approvals and authorisations from the applicable U.S. governmental and regulatory authorities required to authorise and permit the Redomestication were obtained.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laws of the Prior Jurisdiction permitted the transfer out of the Company in the manner provided in Part 12 of the Companies Act and have been fully complied with.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provision of any law or regulation applicable in the Prior Jurisdiction (or elsewhere) was breached by virtue of the transfer by way of continuation of the Company to the Cayman Islands.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638300" cy="3619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8"/>
                    <a:stretch>
                      <a:fillRect/>
                    </a:stretch>
                  </pic:blipFill>
                  <pic:spPr bwMode="auto">
                    <a:xfrm>
                      <a:off x="0" y="0"/>
                      <a:ext cx="1638300" cy="36195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necessary actions were taken under the applicable U.S. laws to authorise the Plans and permit the issuance of the Shares, and any and all consents, approvals and authorisations required to authorise the Plans and permit the issuance of the Shares were obtained.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originals of all documents examined in connection with this opinion are authentic. The signatures, initials and seals on the documents reviewed are genuine and are those of a person or persons given power to execute the documents under the Resolutions (as defined in Schedule 1). All documents purporting to be sealed have been so sealed. All copies are complete and conform to their originals.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6.</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Memorandum and Articles of Association reviewed by us will be the memorandum and articles of association of the Company in effect upon the issuance of the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and completeness of all factual representations made in the Registration Statement and all other documents reviewed by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will receive consideration in money or money’s worth for each Share offered by the Company when issued at the agreed issue price as per the terms of the Registration Statement, such price in any event not being less than the stated par or nominal value of each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9.</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are no provisions of the laws of any jurisdiction outside the Cayman Islands which would be contravened by issuance and allotment of the Shares and, insofar as any obligation expressed to be incurred under any of the documents is to be performed in or is otherwise subject to the laws of any jurisdiction outside the Cayman Islands, its performance will not be illegal by virtue of the laws of that jurisdiction.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10.</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Records are complete and accurate and all matters required by law and the Memorandum and Articles of Association to be recorded therein are completely and accurately so recorded.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the date of issuance of the Shares, the Company has, or will have, sufficient authorised and unissued share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Resolutions are and shall remain in full force and effect and have not been and will not be rescinded or amended. As applicable, the Resolutions were either (a) duly adopted at duly convened meetings of the Board of Directors and such meetings were held and conducted in accordance with the Memorandum and Articles of Association or constitutional documents and governing law of the Company in force at the relevant time, or (b) duly executed by or on behalf of each director or committee member and the signatures and initials thereon are those of a person or persons in whose name the Resolutions have been expressed to be signed and were adopted in accordance with the Memorandum and Articles of Association or constitutional documents and governing law of the Company in force at the relevant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1"/>
        <w:gridCol w:w="9287"/>
      </w:tblGrid>
      <w:tr>
        <w:trPr/>
        <w:tc>
          <w:tcPr>
            <w:tcW w:w="407"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13.</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Registration Statement and the Plans conform in every material respect to the latest drafts of the same produced to us and, where provided in successive drafts, have been marked up to indicate all changes to such documents.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638300" cy="3619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29"/>
                    <a:stretch>
                      <a:fillRect/>
                    </a:stretch>
                  </pic:blipFill>
                  <pic:spPr bwMode="auto">
                    <a:xfrm>
                      <a:off x="0" y="0"/>
                      <a:ext cx="1638300" cy="36195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1"/>
        <w:gridCol w:w="9287"/>
      </w:tblGrid>
      <w:tr>
        <w:trPr/>
        <w:tc>
          <w:tcPr>
            <w:tcW w:w="407"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14.</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the Registration Statement and each Plan (including each award agreement issued pursuant thereto) will be duly authorised, executed and delivered by or on behalf of all relevant parties prior to the issue of the Shares and will be legal, valid, binding and enforceable against all relevant parties in accordance with their terms under all relevant laws (other than the laws of the Cayman Islands).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preconditions to the issue of the Shares under the terms of the Plans will be satisfied or duly waived prior to the issue of the Shares and there will be no breach of the terms of the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16.</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is nothing under any law (other than the laws of the Cayman Islands) which would or might affect any of the opinions set forth above.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relied upon the statements and representations of directors, officers and other representatives of the Company as to factual matters. </w:t>
      </w:r>
    </w:p>
    <w:p>
      <w:pPr>
        <w:pStyle w:val="TextBody"/>
        <w:bidi w:val="0"/>
        <w:spacing w:before="240" w:after="0"/>
        <w:jc w:val="left"/>
        <w:rPr>
          <w:rFonts w:ascii="Times New Roman" w:hAnsi="Times New Roman"/>
          <w:sz w:val="20"/>
        </w:rPr>
      </w:pPr>
      <w:r>
        <w:rPr>
          <w:rFonts w:ascii="Times New Roman" w:hAnsi="Times New Roman"/>
          <w:sz w:val="20"/>
        </w:rPr>
        <w:t xml:space="preserve">Our opinion as to the good standing of the Company is based solely upon receipt of the Certificate of Good Standing (as defined in Schedule 1) issued by the Registrar. The Company shall be deemed to be in good standing under Section 200A of the Companies Act on the date of issue of the Certificate of Good Standing if all fees and penalties under the Companies Act have been paid and the Registrar has no knowledge that the Company is in default under the Companies Act.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limited to the matters referred to herein and shall not be construed as extending to any other matter or document not referred to herein. This opinion is given solely for your benefit and the benefit of your legal advisers acting in that capacity in relation to this transaction and may not be relied upon by any other person, other than persons entitled to rely upon it pursuant to the provisions of the Securities Act, without our prior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This opinion shall be construed in accordance with the laws of the Cayman Islands.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use of this opinion as an exhibit to the Registration Statement and further consent to all references to us in the Registration Statement and any amendments thereto. </w:t>
      </w:r>
    </w:p>
    <w:p>
      <w:pPr>
        <w:pStyle w:val="TextBody"/>
        <w:bidi w:val="0"/>
        <w:spacing w:before="240" w:after="0"/>
        <w:jc w:val="left"/>
        <w:rPr>
          <w:rFonts w:ascii="Times New Roman" w:hAnsi="Times New Roman"/>
          <w:sz w:val="20"/>
        </w:rPr>
      </w:pPr>
      <w:r>
        <w:rPr>
          <w:rFonts w:ascii="Times New Roman" w:hAnsi="Times New Roman"/>
          <w:sz w:val="20"/>
        </w:rPr>
        <w:t xml:space="preserve">Yours faithfully </w:t>
      </w:r>
    </w:p>
    <w:p>
      <w:pPr>
        <w:pStyle w:val="TextBody"/>
        <w:bidi w:val="0"/>
        <w:spacing w:before="240" w:after="0"/>
        <w:jc w:val="left"/>
        <w:rPr>
          <w:rFonts w:ascii="Times New Roman" w:hAnsi="Times New Roman"/>
          <w:sz w:val="20"/>
        </w:rPr>
      </w:pPr>
      <w:r>
        <w:rPr>
          <w:rFonts w:ascii="Times New Roman" w:hAnsi="Times New Roman"/>
          <w:sz w:val="20"/>
        </w:rPr>
        <w:t xml:space="preserve">/s/ Walkers (Cayman) LLP </w:t>
      </w:r>
    </w:p>
    <w:p>
      <w:pPr>
        <w:pStyle w:val="TextBody"/>
        <w:bidi w:val="0"/>
        <w:spacing w:before="240" w:after="0"/>
        <w:jc w:val="left"/>
        <w:rPr>
          <w:rFonts w:ascii="Times New Roman" w:hAnsi="Times New Roman"/>
          <w:b/>
          <w:sz w:val="20"/>
        </w:rPr>
      </w:pPr>
      <w:r>
        <w:rPr>
          <w:rFonts w:ascii="Times New Roman" w:hAnsi="Times New Roman"/>
          <w:b/>
          <w:sz w:val="20"/>
        </w:rPr>
        <w:t xml:space="preserve">Walkers (Cayman) LLP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638300" cy="3619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30"/>
                    <a:stretch>
                      <a:fillRect/>
                    </a:stretch>
                  </pic:blipFill>
                  <pic:spPr bwMode="auto">
                    <a:xfrm>
                      <a:off x="0" y="0"/>
                      <a:ext cx="1638300" cy="3619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SCHEDULE 1 </w:t>
      </w:r>
    </w:p>
    <w:p>
      <w:pPr>
        <w:pStyle w:val="TextBody"/>
        <w:bidi w:val="0"/>
        <w:spacing w:before="240" w:after="0"/>
        <w:jc w:val="center"/>
        <w:rPr>
          <w:rFonts w:ascii="Times New Roman" w:hAnsi="Times New Roman"/>
          <w:b/>
          <w:sz w:val="20"/>
        </w:rPr>
      </w:pPr>
      <w:r>
        <w:rPr>
          <w:rFonts w:ascii="Times New Roman" w:hAnsi="Times New Roman"/>
          <w:b/>
          <w:sz w:val="20"/>
        </w:rPr>
        <w:t xml:space="preserve">LIST OF DOCUMENTS EXAMINED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The Certificate of Registration By Way of Continuation of the Company dated 16 July 2026, the Memorandum and Articles of Association of the Company adopted by special resolution on 9 February 2026 and effective as of 16 July 2026 (the “</w:t>
            </w:r>
            <w:r>
              <w:rPr>
                <w:rFonts w:ascii="Times New Roman" w:hAnsi="Times New Roman"/>
                <w:b/>
                <w:sz w:val="20"/>
              </w:rPr>
              <w:t>Memorandum and Articles of Association”</w:t>
            </w:r>
            <w:r>
              <w:rPr>
                <w:rFonts w:ascii="Times New Roman" w:hAnsi="Times New Roman"/>
                <w:sz w:val="20"/>
              </w:rPr>
              <w:t>) and each of the Register of Directors, Register of Officers and Register of Mortgages and Charges of the Company (together, the “</w:t>
            </w:r>
            <w:r>
              <w:rPr>
                <w:rFonts w:ascii="Times New Roman" w:hAnsi="Times New Roman"/>
                <w:b/>
                <w:sz w:val="20"/>
              </w:rPr>
              <w:t>Company Records”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Cayman Online Registry Information System (CORIS), the Cayman Islands’ General Registry’s online database, searched on 7 August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1"/>
        <w:gridCol w:w="9289"/>
      </w:tblGrid>
      <w:tr>
        <w:trPr/>
        <w:tc>
          <w:tcPr>
            <w:tcW w:w="405"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A Certificate of Good Standing dated 7 August 2026 in respect of the Company issued by the Registrar (the “</w:t>
            </w:r>
            <w:r>
              <w:rPr>
                <w:rFonts w:ascii="Times New Roman" w:hAnsi="Times New Roman"/>
                <w:b/>
                <w:sz w:val="20"/>
              </w:rPr>
              <w:t>Certificate of Good Standing</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Copies of the resolutions of the Board of Directors of the Company approving, among other things, the Registration Statement and the Plans, including, without limitation, copies 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written consent of the Board of Directors of the Company dated 6 August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written consent of the Board of Directors of the Company dated 16 July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written consent of the Compensation Committee of the Board of Directors of the Company dated 27 May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7"/>
        <w:gridCol w:w="509"/>
        <w:gridCol w:w="8369"/>
      </w:tblGrid>
      <w:tr>
        <w:trPr/>
        <w:tc>
          <w:tcPr>
            <w:tcW w:w="132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written consent of the Compensation Committee of the Board of Directors of the Company dated 25 April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written consent of the Board of Directors of the Company dated 13 December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1"/>
        <w:gridCol w:w="8369"/>
      </w:tblGrid>
      <w:tr>
        <w:trPr/>
        <w:tc>
          <w:tcPr>
            <w:tcW w:w="1325"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f.</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minutes of a meeting of the Board of Directors of the Company held on 7 November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7"/>
        <w:gridCol w:w="509"/>
        <w:gridCol w:w="8369"/>
      </w:tblGrid>
      <w:tr>
        <w:trPr/>
        <w:tc>
          <w:tcPr>
            <w:tcW w:w="132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g.</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written consent of the Compensation Committee of the Board of Directors of the Company dated 14 December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h.</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minutes of a meeting of the Board of Directors of the Company held on 17 November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minutes of a meeting of the Compensation Committee of the Board of Directors of the Company held on 16 November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j.</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written consent of the Board of Directors of the Company dated 20 October 2020;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638300" cy="3619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31"/>
                    <a:stretch>
                      <a:fillRect/>
                    </a:stretch>
                  </pic:blipFill>
                  <pic:spPr bwMode="auto">
                    <a:xfrm>
                      <a:off x="0" y="0"/>
                      <a:ext cx="1638300" cy="36195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k.</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minutes of a meeting of the Board of Directors of the Company held on 7 October 2020,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0"/>
        <w:gridCol w:w="511"/>
        <w:gridCol w:w="8374"/>
      </w:tblGrid>
      <w:tr>
        <w:trPr/>
        <w:tc>
          <w:tcPr>
            <w:tcW w:w="1320"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 </w:t>
            </w:r>
          </w:p>
        </w:tc>
        <w:tc>
          <w:tcPr>
            <w:tcW w:w="8374" w:type="dxa"/>
            <w:tcBorders/>
          </w:tcPr>
          <w:p>
            <w:pPr>
              <w:pStyle w:val="TableContents"/>
              <w:bidi w:val="0"/>
              <w:spacing w:before="0" w:after="0"/>
              <w:jc w:val="left"/>
              <w:rPr>
                <w:rFonts w:ascii="Times New Roman" w:hAnsi="Times New Roman"/>
                <w:sz w:val="20"/>
              </w:rPr>
            </w:pPr>
            <w:r>
              <w:rPr>
                <w:rFonts w:ascii="Times New Roman" w:hAnsi="Times New Roman"/>
                <w:sz w:val="20"/>
              </w:rPr>
              <w:t>(altogether, the “</w:t>
            </w:r>
            <w:r>
              <w:rPr>
                <w:rFonts w:ascii="Times New Roman" w:hAnsi="Times New Roman"/>
                <w:b/>
                <w:sz w:val="20"/>
              </w:rPr>
              <w:t>Resolutions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5.</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7.</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other documents as we have deemed necessary to render the opinions set forth herein.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p>
    <w:p>
      <w:pPr>
        <w:pStyle w:val="TextBody"/>
        <w:bidi w:val="0"/>
        <w:spacing w:before="0" w:after="0"/>
        <w:jc w:val="right"/>
        <w:rPr>
          <w:rFonts w:ascii="Times New Roman" w:hAnsi="Times New Roman"/>
          <w:b/>
          <w:sz w:val="20"/>
        </w:rPr>
      </w:pPr>
      <w:bookmarkStart w:id="17" w:name="d135820dex231.htm"/>
      <w:bookmarkStart w:id="18" w:name="ksd135820dex231"/>
      <w:bookmarkEnd w:id="17"/>
      <w:bookmarkEnd w:id="18"/>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the Post-Effective Amendment No. 1 to the following Registration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Registration Statement (Form S-8 No. 333-249852) pertaining to the 2020 Stock Option and Grant Plan and 2020 Equity Incentive Plan of Damora Therapeutics,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Registration Statement (Form S-8 No. 333-254805) pertaining to the 2020 Equity Incentive Plan of Damora Therapeutics,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Registration Statement (Form S-8 No. 333-262823) pertaining to the 2020 Equity Incentive Plan of Damora Therapeutics,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Registration Statement (Form S-8 No. 333-270380) pertaining to the 2020 Equity Incentive Plan and 2022 Inducement Plan of Damora Therapeutics,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Registration Statement (Form S-8 No. 333-277792) pertaining to the 2020 Equity Incentive Plan of Damora Therapeutics,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Registration Statement (Form S-8 No. 333-285920) pertaining to the 2020 Equity Incentive Plan of Damora Therapeutics,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Registration Statement (Form S-8 No. 333-292564) pertaining to the 2022 Inducement Plan of Damora Therapeutics, Inc.,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Registration Statement (Form S-8 No. 333-294492) pertaining to the 2026 Equity Incentive Plan, 2026 Employee Stock Purchase Plan and 2025 Equity Incentive Plan of Damora Therapeutics, Inc. </w:t>
            </w:r>
          </w:p>
        </w:tc>
      </w:tr>
    </w:tbl>
    <w:p>
      <w:pPr>
        <w:pStyle w:val="TextBody"/>
        <w:bidi w:val="0"/>
        <w:spacing w:before="240" w:after="0"/>
        <w:jc w:val="left"/>
        <w:rPr>
          <w:rFonts w:ascii="Times New Roman" w:hAnsi="Times New Roman"/>
          <w:sz w:val="20"/>
        </w:rPr>
      </w:pPr>
      <w:r>
        <w:rPr>
          <w:rFonts w:ascii="Times New Roman" w:hAnsi="Times New Roman"/>
          <w:sz w:val="20"/>
        </w:rPr>
        <w:t xml:space="preserve">of our report dated March 19, 2026, with respect to the consolidated financial statements of Damora Therapeutics, Inc. included in its Annual Report (Form 10-K) for the year ended December 31, 2025, filed with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/s/ EY Godkendt Revisionspartnerselskab </w:t>
      </w:r>
    </w:p>
    <w:p>
      <w:pPr>
        <w:pStyle w:val="TextBody"/>
        <w:bidi w:val="0"/>
        <w:spacing w:before="240" w:after="0"/>
        <w:jc w:val="left"/>
        <w:rPr>
          <w:rFonts w:ascii="Times New Roman" w:hAnsi="Times New Roman"/>
          <w:sz w:val="20"/>
        </w:rPr>
      </w:pPr>
      <w:r>
        <w:rPr>
          <w:rFonts w:ascii="Times New Roman" w:hAnsi="Times New Roman"/>
          <w:sz w:val="20"/>
        </w:rPr>
        <w:t xml:space="preserve">Copenhagen, Denmark </w:t>
      </w:r>
    </w:p>
    <w:p>
      <w:pPr>
        <w:pStyle w:val="TextBody"/>
        <w:bidi w:val="0"/>
        <w:spacing w:before="0" w:after="0"/>
        <w:jc w:val="left"/>
        <w:rPr>
          <w:rFonts w:ascii="Times New Roman" w:hAnsi="Times New Roman"/>
          <w:sz w:val="20"/>
        </w:rPr>
      </w:pPr>
      <w:r>
        <w:rPr>
          <w:rFonts w:ascii="Times New Roman" w:hAnsi="Times New Roman"/>
          <w:sz w:val="20"/>
        </w:rPr>
        <w:t xml:space="preserve">August 10, 2026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00315/000119312520285647/d54610ds8.htm" TargetMode="External"/><Relationship Id="rId3" Type="http://schemas.openxmlformats.org/officeDocument/2006/relationships/hyperlink" Target="http://www.sec.gov/Archives/edgar/data/1800315/000156459021015967/glto-s8.htm" TargetMode="External"/><Relationship Id="rId4" Type="http://schemas.openxmlformats.org/officeDocument/2006/relationships/hyperlink" Target="http://www.sec.gov/Archives/edgar/data/1800315/000156459022005574/glto-s8.htm" TargetMode="External"/><Relationship Id="rId5" Type="http://schemas.openxmlformats.org/officeDocument/2006/relationships/hyperlink" Target="http://www.sec.gov/Archives/edgar/data/1800315/000095017023006822/glto_s-8_02142023.htm" TargetMode="External"/><Relationship Id="rId6" Type="http://schemas.openxmlformats.org/officeDocument/2006/relationships/hyperlink" Target="http://www.sec.gov/Archives/edgar/data/1800315/000095017024028663/glto_s-8_030824.htm" TargetMode="External"/><Relationship Id="rId7" Type="http://schemas.openxmlformats.org/officeDocument/2006/relationships/hyperlink" Target="http://www.sec.gov/Archives/edgar/data/1800315/000095017025042051/glto-20250319.htm" TargetMode="External"/><Relationship Id="rId8" Type="http://schemas.openxmlformats.org/officeDocument/2006/relationships/hyperlink" Target="http://www.sec.gov/Archives/edgar/data/1800315/000119312526001076/glto-20260102.htm" TargetMode="External"/><Relationship Id="rId9" Type="http://schemas.openxmlformats.org/officeDocument/2006/relationships/hyperlink" Target="http://www.sec.gov/Archives/edgar/data/1800315/000119312526117594/dmra-20260320.htm" TargetMode="External"/><Relationship Id="rId10" Type="http://schemas.openxmlformats.org/officeDocument/2006/relationships/hyperlink" Target="http://www.sec.gov/Archives/edgar/data/../../../ix?doc=/Archives/edgar/data/1800315/000119312526115922/dmra-20251231.htm" TargetMode="External"/><Relationship Id="rId11" Type="http://schemas.openxmlformats.org/officeDocument/2006/relationships/hyperlink" Target="http://www.sec.gov/Archives/edgar/data/../../../ix?doc=/Archives/edgar/data/1800315/000119312526191429/dmra-20260429.htm" TargetMode="External"/><Relationship Id="rId12" Type="http://schemas.openxmlformats.org/officeDocument/2006/relationships/hyperlink" Target="http://www.sec.gov/Archives/edgar/data/../../../ix?doc=/Archives/edgar/data/1800315/000119312526219327/dmra-20260331.htm" TargetMode="External"/><Relationship Id="rId13" Type="http://schemas.openxmlformats.org/officeDocument/2006/relationships/hyperlink" Target="http://www.sec.gov/Archives/edgar/data/../../../ix?doc=/Archives/edgar/data/1800315/000119312526342307/dmra-20260630.htm" TargetMode="External"/><Relationship Id="rId14" Type="http://schemas.openxmlformats.org/officeDocument/2006/relationships/hyperlink" Target="http://www.sec.gov/Archives/edgar/data/../../../ix?doc=/Archives/edgar/data/0001800315/000119312526003490/glto-20251231.htm" TargetMode="External"/><Relationship Id="rId15" Type="http://schemas.openxmlformats.org/officeDocument/2006/relationships/hyperlink" Target="http://www.sec.gov/Archives/edgar/data/../../../ix?doc=/Archives/edgar/data/0001800315/000119312526043741/glto-20260206.htm" TargetMode="External"/><Relationship Id="rId16" Type="http://schemas.openxmlformats.org/officeDocument/2006/relationships/hyperlink" Target="http://www.sec.gov/Archives/edgar/data/../../../ix?doc=/Archives/edgar/data/0001800315/000119312526046817/d38009d8k.htm" TargetMode="External"/><Relationship Id="rId17" Type="http://schemas.openxmlformats.org/officeDocument/2006/relationships/hyperlink" Target="http://www.sec.gov/Archives/edgar/data/../../../ix?doc=/Archives/edgar/data/0001800315/000119312526099404/dmra-20260306.htm" TargetMode="External"/><Relationship Id="rId18" Type="http://schemas.openxmlformats.org/officeDocument/2006/relationships/hyperlink" Target="http://www.sec.gov/Archives/edgar/data/../../../ix?doc=/Archives/edgar/data/0001800315/000119312526118699/dmra-20260320.htm" TargetMode="External"/><Relationship Id="rId19" Type="http://schemas.openxmlformats.org/officeDocument/2006/relationships/hyperlink" Target="http://www.sec.gov/Archives/edgar/data/../../../ix?doc=/Archives/edgar/data/0001800315/000119312526163909/dmra-20260417.htm" TargetMode="External"/><Relationship Id="rId20" Type="http://schemas.openxmlformats.org/officeDocument/2006/relationships/hyperlink" Target="http://www.sec.gov/Archives/edgar/data/../../../ix?doc=/Archives/edgar/data/0001800315/000119312526203913/dmra-20260428.htm" TargetMode="External"/><Relationship Id="rId21" Type="http://schemas.openxmlformats.org/officeDocument/2006/relationships/hyperlink" Target="http://www.sec.gov/Archives/edgar/data/../../../ix?doc=/Archives/edgar/data/0001800315/000119312526274093/dmra-20260428.htm" TargetMode="External"/><Relationship Id="rId22" Type="http://schemas.openxmlformats.org/officeDocument/2006/relationships/hyperlink" Target="http://www.sec.gov/Archives/edgar/data/../../../ix?doc=/Archives/edgar/data/0001800315/000119312526308899/dmra-20260716.htm" TargetMode="External"/><Relationship Id="rId23" Type="http://schemas.openxmlformats.org/officeDocument/2006/relationships/hyperlink" Target="http://www.sec.gov/Archives/edgar/data/1800315/000119312520275442/d49896d8a12b.htm" TargetMode="External"/><Relationship Id="rId24" Type="http://schemas.openxmlformats.org/officeDocument/2006/relationships/hyperlink" Target="http://www.sec.gov/Archives/edgar/data/1800315/000119312526342406/d135826d8a12ba.htm" TargetMode="External"/><Relationship Id="rId25" Type="http://schemas.openxmlformats.org/officeDocument/2006/relationships/hyperlink" Target="http://www.sec.gov/Archives/edgar/data/1800315/000119312526308899/dmra-ex3_1.htm" TargetMode="External"/><Relationship Id="rId26" Type="http://schemas.openxmlformats.org/officeDocument/2006/relationships/image" Target="media/image1.jpeg"/><Relationship Id="rId27" Type="http://schemas.openxmlformats.org/officeDocument/2006/relationships/image" Target="media/image1.jpeg"/><Relationship Id="rId28" Type="http://schemas.openxmlformats.org/officeDocument/2006/relationships/image" Target="media/image1.jpeg"/><Relationship Id="rId29" Type="http://schemas.openxmlformats.org/officeDocument/2006/relationships/image" Target="media/image1.jpeg"/><Relationship Id="rId30" Type="http://schemas.openxmlformats.org/officeDocument/2006/relationships/image" Target="media/image1.jpeg"/><Relationship Id="rId31" Type="http://schemas.openxmlformats.org/officeDocument/2006/relationships/image" Target="media/image1.jpeg"/><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129</Pages>
  <Words>72845</Words>
  <Characters>379389</Characters>
  <CharactersWithSpaces>452662</CharactersWithSpaces>
  <Paragraphs>2055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